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版本号：SXBX-ZFCG-202600620260512003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开明寺塔安防工程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SXBX-ZFCG-2026006</w:t>
      </w:r>
      <w:r>
        <w:br/>
      </w:r>
      <w:r>
        <w:br/>
      </w:r>
      <w:r>
        <w:br/>
      </w:r>
    </w:p>
    <w:p>
      <w:pPr>
        <w:pStyle w:val="null3"/>
        <w:jc w:val="center"/>
        <w:outlineLvl w:val="2"/>
      </w:pPr>
      <w:r>
        <w:rPr>
          <w:rFonts w:ascii="仿宋_GB2312" w:hAnsi="仿宋_GB2312" w:cs="仿宋_GB2312" w:eastAsia="仿宋_GB2312"/>
          <w:sz w:val="28"/>
          <w:b/>
        </w:rPr>
        <w:t>洋县文化和旅游局</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洋县文化和旅游局</w:t>
      </w:r>
      <w:r>
        <w:rPr>
          <w:rFonts w:ascii="仿宋_GB2312" w:hAnsi="仿宋_GB2312" w:cs="仿宋_GB2312" w:eastAsia="仿宋_GB2312"/>
        </w:rPr>
        <w:t>委托，拟对</w:t>
      </w:r>
      <w:r>
        <w:rPr>
          <w:rFonts w:ascii="仿宋_GB2312" w:hAnsi="仿宋_GB2312" w:cs="仿宋_GB2312" w:eastAsia="仿宋_GB2312"/>
        </w:rPr>
        <w:t>开明寺塔安防工程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开明寺塔安防工程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地波微震动探测系统1套、入侵和紧急报警系统1套、视频安防视频管理系统1套、出入口控制系统1套、防雷与接地系统1套、传输系统（供电传输系统1套、信号传输系统1套）、监控室工程。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3、供应商资质要求：供应商须具备建设行政主管部门颁发的电子与智能化工程专业承包一级资质，同时具备有效的安全生产许可证，并在人员、设备、资金等方面具备相应的施工能力</w:t>
      </w:r>
    </w:p>
    <w:p>
      <w:pPr>
        <w:pStyle w:val="null3"/>
      </w:pPr>
      <w:r>
        <w:rPr>
          <w:rFonts w:ascii="仿宋_GB2312" w:hAnsi="仿宋_GB2312" w:cs="仿宋_GB2312" w:eastAsia="仿宋_GB2312"/>
        </w:rPr>
        <w:t>4、项目负责人资质：拟派项目负责人具备有效的机电工程专业二级及以上注册建造师证书，具备有效的安全生产考核合格证书(安全B证)，在本单位注册，并出具近半年的社保证明，且无在建项目（提供无在建工程承诺书）</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6、无关联关系：单位负责人为同一人或者存在控股、管理关系的不同单位，不得同时参加本采购项目磋商。违反规定的，其响应均无效；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洋县东二环68号司法局四楼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洋县文化和旅游局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0916-2982076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洋县文化和旅游局</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地址：陕西省汉中市洋县北二环东段云江月酒店向东30米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743,775.33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开明寺塔安防工程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标的名称：开明寺塔安防工程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1、建设单位:洋县文物广电局</w:t>
            </w:r>
          </w:p>
          <w:p>
            <w:pPr>
              <w:pStyle w:val="null3"/>
            </w:pPr>
            <w:r>
              <w:rPr>
                <w:rFonts w:ascii="仿宋_GB2312" w:hAnsi="仿宋_GB2312" w:cs="仿宋_GB2312" w:eastAsia="仿宋_GB2312"/>
              </w:rPr>
              <w:t>2、项目名称：开明寺塔安防工程</w:t>
            </w:r>
            <w:r>
              <w:br/>
            </w:r>
            <w:r>
              <w:rPr>
                <w:rFonts w:ascii="仿宋_GB2312" w:hAnsi="仿宋_GB2312" w:cs="仿宋_GB2312" w:eastAsia="仿宋_GB2312"/>
              </w:rPr>
              <w:t xml:space="preserve"> 3、建设地点：洋县开明寺广场</w:t>
            </w:r>
          </w:p>
          <w:p>
            <w:pPr>
              <w:pStyle w:val="null3"/>
            </w:pPr>
            <w:r>
              <w:rPr>
                <w:rFonts w:ascii="仿宋_GB2312" w:hAnsi="仿宋_GB2312" w:cs="仿宋_GB2312" w:eastAsia="仿宋_GB2312"/>
              </w:rPr>
              <w:t>二、实施范围</w:t>
            </w:r>
          </w:p>
          <w:p>
            <w:pPr>
              <w:pStyle w:val="null3"/>
            </w:pPr>
            <w:r>
              <w:rPr>
                <w:rFonts w:ascii="仿宋_GB2312" w:hAnsi="仿宋_GB2312" w:cs="仿宋_GB2312" w:eastAsia="仿宋_GB2312"/>
              </w:rPr>
              <w:t>采购内容：地波微震动探测系统1套、入侵和紧急报警系统1套、视频安防视频管理系统1套、出入口控制系统1套、防雷与接地系统1套、传输系统（供电传输系统1套、信号传输系统1套）、监控室工程。</w:t>
            </w:r>
          </w:p>
          <w:p>
            <w:pPr>
              <w:pStyle w:val="null3"/>
            </w:pPr>
            <w:r>
              <w:rPr>
                <w:rFonts w:ascii="仿宋_GB2312" w:hAnsi="仿宋_GB2312" w:cs="仿宋_GB2312" w:eastAsia="仿宋_GB2312"/>
              </w:rPr>
              <w:t>主要功能或</w:t>
            </w:r>
            <w:r>
              <w:rPr>
                <w:rFonts w:ascii="仿宋_GB2312" w:hAnsi="仿宋_GB2312" w:cs="仿宋_GB2312" w:eastAsia="仿宋_GB2312"/>
              </w:rPr>
              <w:t>目标：对文物重点位置等进行实时监控，对进入文物保护区人员进行全程跟踪，系统应能达到报警手段可靠、及时、准确，取证清晰、有据可查。充分发挥“技防”优势，在“物防”与“人防”的协调下，把文物破坏/盗掘消灭在初始阶段，取得与文物犯罪活动做斗争的胜利，从而有效地防止文物被破坏、被盗案件的发生。具体详见本工程施工图纸及工程量清单；</w:t>
            </w:r>
          </w:p>
          <w:p>
            <w:pPr>
              <w:pStyle w:val="null3"/>
            </w:pPr>
            <w:r>
              <w:rPr>
                <w:rFonts w:ascii="仿宋_GB2312" w:hAnsi="仿宋_GB2312" w:cs="仿宋_GB2312" w:eastAsia="仿宋_GB2312"/>
              </w:rPr>
              <w:t>三、工期：90日历天；</w:t>
            </w:r>
          </w:p>
          <w:p>
            <w:pPr>
              <w:pStyle w:val="null3"/>
            </w:pPr>
            <w:r>
              <w:rPr>
                <w:rFonts w:ascii="仿宋_GB2312" w:hAnsi="仿宋_GB2312" w:cs="仿宋_GB2312" w:eastAsia="仿宋_GB2312"/>
              </w:rPr>
              <w:t>四、质量标准：符合国家及行业现行技术规范标准，符合国家及行业验收合格标准;</w:t>
            </w:r>
          </w:p>
          <w:p>
            <w:pPr>
              <w:pStyle w:val="null3"/>
            </w:pPr>
            <w:r>
              <w:rPr>
                <w:rFonts w:ascii="仿宋_GB2312" w:hAnsi="仿宋_GB2312" w:cs="仿宋_GB2312" w:eastAsia="仿宋_GB2312"/>
              </w:rPr>
              <w:t>五、质量保修期：2年。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供应商须具备建设行政主管部门颁发的电子与智能化工程专业承包一级资质，同时具备有效的安全生产许可证，并在人员、设备、资金等方面具备相应的施工能力</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拟派项目负责人具备有效的机电工程专业二级及以上注册建造师证书，具备有效的安全生产考核合格证书(安全B证)，在本单位注册，并出具近半年的社保证明，且无在建项目（提供无在建工程承诺书）</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响应文件封面 供应商应提交的相关资格证明.docx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供应商应提交的相关资格证明.docx 残疾人福利性单位声明函 中小企业声明函 报价函 标的清单 项目管理机构组成表.docx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供应商应提交的相关资格证明.docx 残疾人福利性单位声明函 中小企业声明函 报价函 标的清单 项目管理机构组成表.docx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施工方案完整、针对性极强，贴合项目实际工况与重难点；技术措施科学先进、可操作性强，关键工序有专项优化方案，完全符合规范要求得7.6-10分。 施工方案完整，针对性较强，能匹配项目主要工况；技术措施合理可行，覆盖核心工序，符合规范要求，无明显疏漏得5.1-7.5分； 施工方案基本完整，针对性一般，能满足项目基础施工需求；技术措施基本可行，关键工序措施略有欠缺，基本符合规范要求得2.6-5分； 施工方案残缺不全，缺乏针对性，与项目实际严重不符；技术措施不可行，核心工序无有效措施，不符合规范要求，甚至存在原则性错误，得0-2.5分。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质量管理体系健全完善、符合规范，质量目标明确，组织机构、岗位职责、管理制度、过程控制、检验检测、隐患排查、整改闭环及持续改进措施全面、针对性强、可操作性高，能有效保障工程质量得7.6-10分； 质量管理体系较为完善，质量目标、组织机构、管理制度及主要控制措施基本齐全，关键工序、隐蔽工程、材料设备等有相应管控，整体可满足工程质量要求得5.1-7.5分； 质量管理体系基本建立，质量目标、控制措施内容较简单、针对性一般，部分关键环节管控不够细化，基本能满足施工质量基本要求得2.6-5分； 质量管理体系不健全或缺失，质量目标、控制措施笼统、缺乏可操作性，关键工序、质量验收、过程管控等内容不足，难以有效保障工程质量得0-2.5分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安全管理体系健全完善，组织机构、责任制、管理制度、应急救援、教育培训等措施全面具体、针对性强、可操作性强，安全保障能力突出得7.6-10分； 安全管理体系较为完善，安全责任、管理制度、主要防控措施基本齐全，关键工序、现场防护等有相应管控，可满足项目安全生产要求得5.1-7.5分； 安全管理体系基本建立，安全措施内容较简单、针对性一般，部分关键环节管控不够细化，基本满足安全生产基本要求得2.6-5分； 安全管理体系不健全或缺失，安全措施笼统空洞、缺乏可操作性，危大工程、现场防护、应急管理等内容不足，难以有效保障施工安全得0-2.5分。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文明施工、环保、消防管理体系与措施</w:t>
            </w:r>
          </w:p>
        </w:tc>
        <w:tc>
          <w:tcPr>
            <w:tcW w:type="dxa" w:w="2492"/>
          </w:tcPr>
          <w:p>
            <w:pPr>
              <w:pStyle w:val="null3"/>
            </w:pPr>
            <w:r>
              <w:rPr>
                <w:rFonts w:ascii="仿宋_GB2312" w:hAnsi="仿宋_GB2312" w:cs="仿宋_GB2312" w:eastAsia="仿宋_GB2312"/>
              </w:rPr>
              <w:t>管理体系健全完善，文明施工、扬尘噪声、污水固废、绿色施工、消防等措施全面具体、针对性强、可操作性高，保障措施充分可靠得7.6-10分； 管理体系较为完善，文明施工、环保、消防措施基本齐全，关键环节管控到位，可满足项目现场管理要求得5.1-7.5分； 管理体系基本建立，相关措施内容较简单、针对性一般，部分环节不够细化，基本满足现场管理基本要求得2.6-5分； 管理体系不健全或缺失，措施笼统空洞、缺乏可操作性，现场管控、环保、消防等内容不足，难以有效保障现场管理得0-2.5分。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项目重点、难点分析及对应保障措施</w:t>
            </w:r>
          </w:p>
        </w:tc>
        <w:tc>
          <w:tcPr>
            <w:tcW w:type="dxa" w:w="2492"/>
          </w:tcPr>
          <w:p>
            <w:pPr>
              <w:pStyle w:val="null3"/>
            </w:pPr>
            <w:r>
              <w:rPr>
                <w:rFonts w:ascii="仿宋_GB2312" w:hAnsi="仿宋_GB2312" w:cs="仿宋_GB2312" w:eastAsia="仿宋_GB2312"/>
              </w:rPr>
              <w:t>对项目重点、难点分析全面、精准透彻，贴合工程规模、工艺特点、现场条件及行业规范；对应保障措施具体可行、针对性强，能有效破解关键问题3.6-5分； 能识别项目主要重点、难点，但分析不够深入、针对性一般；对应保障措施内容较简单，部分环节管控不够细化，基本满足项目实施基本需求得1.6-3.5分； 对项目重点、难点识别不清或缺失，分析笼统片面；对应保障措施空洞笼统、缺乏可操作性，无法有效应对关键问题，难以保障项目顺利实施得0-1.5分。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进度计划科学合理、细化完整，贴合项目总工期要求，逻辑清晰；对应保障措施全面具体、针对性强，能有效保障工期目标实现得4.1-6分； 进度计划框架基本完整，但细节不够细化；对应保障措施内容较简单、针对性一般，基本满足工期基本要求得2.1-4分； 进度计划不合理或缺失关键内容，节点混乱、与总工期要求不符；对应保障措施笼统空洞、缺乏可操作性，难以保障工期顺利推进得0-2。</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保修方案及服务承诺</w:t>
            </w:r>
          </w:p>
        </w:tc>
        <w:tc>
          <w:tcPr>
            <w:tcW w:type="dxa" w:w="2492"/>
          </w:tcPr>
          <w:p>
            <w:pPr>
              <w:pStyle w:val="null3"/>
            </w:pPr>
            <w:r>
              <w:rPr>
                <w:rFonts w:ascii="仿宋_GB2312" w:hAnsi="仿宋_GB2312" w:cs="仿宋_GB2312" w:eastAsia="仿宋_GB2312"/>
              </w:rPr>
              <w:t>保修方案健全完善、针对性强，明确保修范围、期限、责任划分、响应流程、维修标准及质量追溯机制，贴合工程类型特点；服务承诺具体务实、保障有力，涵盖 24 小时应急响应、上门服务时限、质保期后增值服务、投诉处理闭环等内容，可操作性强，能充分保障采购人权益得3.6-5分； 保修方案较为完善，保修范围、期限、主要维修流程基本明确，符合行业规范及项目要求；服务承诺基本具体，明确响应时限、维修责任等核心内容，可满足采购人基本服务需求得2.1-3.5分； 保修方案基本建立，但内容较简单，保修流程、责任划分不够细化，针对性一般；服务承诺内容笼统，仅明确核心保修期限，部分服务细节缺失，基本满足保修基本要求得1.1-2分； 保修方案不健全或缺失，未明确保修范围、责任、流程等关键内容；服务承诺空洞无实质内容，缺乏可操作性，难以保障采购人售后权益得0-1分。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关键岗位（项目经理、技术负责人等）资质齐全且等级达标，完全符合招标文件及行业规定；专业人员、特种作业人员配置充足、分工清晰；有详细的人员进场计划、岗位职责说明书及履职考核机制，保障措施完善，可充分支撑工程高效推进得3.1-5分； 关键岗位资质满足基本要求，符合招标文件核心规定；主要专业人员配置到位，人员配置与项目需求基本匹配，有明确的人员进场安排及基础履职保障措施，能保障工程正常施工得1.6-3分； 关键岗位资质不符或缺失，专业人员、特种作业人员配置不足；人员履历与项目需求不匹配，无明确的人员进场计划及履职保障措施，难以支撑工程顺利实施得0-1.5分。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施工设备</w:t>
            </w:r>
          </w:p>
        </w:tc>
        <w:tc>
          <w:tcPr>
            <w:tcW w:type="dxa" w:w="2492"/>
          </w:tcPr>
          <w:p>
            <w:pPr>
              <w:pStyle w:val="null3"/>
            </w:pPr>
            <w:r>
              <w:rPr>
                <w:rFonts w:ascii="仿宋_GB2312" w:hAnsi="仿宋_GB2312" w:cs="仿宋_GB2312" w:eastAsia="仿宋_GB2312"/>
              </w:rPr>
              <w:t>设备配置与施工进度计划、施工工艺高度匹配，能充分保障工程施工效率和质量得3.6-5分； 设备配置与施工计划、工艺基本匹配，无明显不合理之处，能基本保障工程施工效率和质量得1.6-3.5分； 设备配置与施工计划、工艺不匹配，不能充分保障工程施工效率和质量得0-1.5分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提供供应商自2023年1月1日至今实施过的类似工程项目业绩，提供合同的复印件并加盖单位公章，以合同的签订日期为准。每提供1份得2分，最多得4分，未提供或提供的合同内容模糊无法辨认得0分。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详见附件：供应商应提交的相关资格证明.docx</w:t>
      </w:r>
    </w:p>
    <w:p>
      <w:pPr>
        <w:pStyle w:val="null3"/>
        <w:ind w:firstLine="960"/>
      </w:pPr>
      <w:r>
        <w:rPr>
          <w:rFonts w:ascii="仿宋_GB2312" w:hAnsi="仿宋_GB2312" w:cs="仿宋_GB2312" w:eastAsia="仿宋_GB2312"/>
        </w:rPr>
        <w:t>详见附件：项目管理机构组成表.docx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