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版本号：SXBX-ZFCG-202600620260512004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开明寺塔安防工程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SXBX-ZFCG-2026006</w:t>
      </w:r>
      <w:r>
        <w:br/>
      </w:r>
      <w:r>
        <w:br/>
      </w:r>
      <w:r>
        <w:br/>
      </w:r>
    </w:p>
    <w:p>
      <w:pPr>
        <w:pStyle w:val="null3"/>
        <w:jc w:val="center"/>
        <w:outlineLvl w:val="2"/>
      </w:pPr>
      <w:r>
        <w:rPr>
          <w:rFonts w:ascii="仿宋_GB2312" w:hAnsi="仿宋_GB2312" w:cs="仿宋_GB2312" w:eastAsia="仿宋_GB2312"/>
          <w:sz w:val="28"/>
          <w:b/>
        </w:rPr>
        <w:t>洋县文化和旅游局</w:t>
      </w:r>
    </w:p>
    <w:p>
      <w:pPr>
        <w:pStyle w:val="null3"/>
        <w:jc w:val="center"/>
        <w:outlineLvl w:val="2"/>
      </w:pPr>
      <w:r>
        <w:rPr>
          <w:rFonts w:ascii="仿宋_GB2312" w:hAnsi="仿宋_GB2312" w:cs="仿宋_GB2312" w:eastAsia="仿宋_GB2312"/>
          <w:sz w:val="28"/>
          <w:b/>
        </w:rPr>
        <w:t>陕西柏骁项目管理有限公司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陕西柏骁项目管理有限公司</w:t>
      </w:r>
      <w:r>
        <w:rPr>
          <w:rFonts w:ascii="仿宋_GB2312" w:hAnsi="仿宋_GB2312" w:cs="仿宋_GB2312" w:eastAsia="仿宋_GB2312"/>
        </w:rPr>
        <w:t>（以下简称“代理机构”）受</w:t>
      </w:r>
      <w:r>
        <w:rPr>
          <w:rFonts w:ascii="仿宋_GB2312" w:hAnsi="仿宋_GB2312" w:cs="仿宋_GB2312" w:eastAsia="仿宋_GB2312"/>
        </w:rPr>
        <w:t>洋县文化和旅游局</w:t>
      </w:r>
      <w:r>
        <w:rPr>
          <w:rFonts w:ascii="仿宋_GB2312" w:hAnsi="仿宋_GB2312" w:cs="仿宋_GB2312" w:eastAsia="仿宋_GB2312"/>
        </w:rPr>
        <w:t>委托，拟对</w:t>
      </w:r>
      <w:r>
        <w:rPr>
          <w:rFonts w:ascii="仿宋_GB2312" w:hAnsi="仿宋_GB2312" w:cs="仿宋_GB2312" w:eastAsia="仿宋_GB2312"/>
        </w:rPr>
        <w:t>开明寺塔安防工程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SXBX-ZFCG-2026006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开明寺塔安防工程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地波微震动探测系统1套、入侵和紧急报警系统1套、视频安防视频管理系统1套、出入口控制系统1套、防雷与接地系统1套、传输系统（供电传输系统1套、信号传输系统1套）、监控室工程。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3、供应商资质要求：供应商须具备建设行政主管部门颁发的电子与智能化工程专业承包一级资质，同时具备有效的安全生产许可证，并在人员、设备、资金等方面具备相应的施工能力</w:t>
      </w:r>
    </w:p>
    <w:p>
      <w:pPr>
        <w:pStyle w:val="null3"/>
      </w:pPr>
      <w:r>
        <w:rPr>
          <w:rFonts w:ascii="仿宋_GB2312" w:hAnsi="仿宋_GB2312" w:cs="仿宋_GB2312" w:eastAsia="仿宋_GB2312"/>
        </w:rPr>
        <w:t>4、项目负责人资质：拟派项目负责人具备有效的机电工程专业二级及以上注册建造师证书，具备有效的安全生产考核合格证书(安全B证)，在本单位注册，并出具近半年的社保证明，且无在建项目（提供无在建工程承诺书）</w:t>
      </w:r>
    </w:p>
    <w:p>
      <w:pPr>
        <w:pStyle w:val="null3"/>
      </w:pPr>
      <w:r>
        <w:rPr>
          <w:rFonts w:ascii="仿宋_GB2312" w:hAnsi="仿宋_GB2312" w:cs="仿宋_GB2312" w:eastAsia="仿宋_GB2312"/>
        </w:rPr>
        <w:t>5、供应商资格承诺函：供应商须具有健全的财务会计制度、具有履行合同所必需的设备和专业技术能力、具有依法缴纳税收和社会保障资金的良好记录，供应商应出具参加本次政府采购活动前3年内在经营活动中没有重大违法违纪，截止至响应文件递交截止时间之前，供应商未被“信用中国”网站列入失信被执行人名单、重大税收违法案件当事人名单，未被列入“中国政府采购网”政府采购严重违法失信行为记录名单；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6、无关联关系：单位负责人为同一人或者存在控股、管理关系的不同单位，不得同时参加本采购项目磋商。违反规定的，其响应均无效；</w:t>
      </w:r>
    </w:p>
    <w:p>
      <w:pPr>
        <w:pStyle w:val="null3"/>
      </w:pPr>
      <w:r>
        <w:rPr>
          <w:rFonts w:ascii="仿宋_GB2312" w:hAnsi="仿宋_GB2312" w:cs="仿宋_GB2312" w:eastAsia="仿宋_GB2312"/>
        </w:rPr>
        <w:t>7、非联合体：本项目不接受联合体投标，供应商需提供非联合体书面声明。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洋县东二环68号司法局四楼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洋县文化和旅游局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0916-2982076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陕西柏骁项目管理有限公司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陕西省汉中市洋县云江月酒店向东30米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0916-8211122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开户名称：陕西柏骁项目管理有限公司</w:t>
            </w:r>
          </w:p>
          <w:p>
            <w:pPr>
              <w:pStyle w:val="null3"/>
            </w:pPr>
            <w:r>
              <w:rPr>
                <w:rFonts w:ascii="仿宋_GB2312" w:hAnsi="仿宋_GB2312" w:cs="仿宋_GB2312" w:eastAsia="仿宋_GB2312"/>
              </w:rPr>
              <w:t>开户银行：中国工商银行股份有限公司汉中洋县支行营业部</w:t>
            </w:r>
          </w:p>
          <w:p>
            <w:pPr>
              <w:pStyle w:val="null3"/>
            </w:pPr>
            <w:r>
              <w:rPr>
                <w:rFonts w:ascii="仿宋_GB2312" w:hAnsi="仿宋_GB2312" w:cs="仿宋_GB2312" w:eastAsia="仿宋_GB2312"/>
              </w:rPr>
              <w:t>银行账号：2606051519200218884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执行。 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洋县文化和旅游局</w:t>
      </w:r>
      <w:r>
        <w:rPr>
          <w:rFonts w:ascii="仿宋_GB2312" w:hAnsi="仿宋_GB2312" w:cs="仿宋_GB2312" w:eastAsia="仿宋_GB2312"/>
        </w:rPr>
        <w:t>和</w:t>
      </w:r>
      <w:r>
        <w:rPr>
          <w:rFonts w:ascii="仿宋_GB2312" w:hAnsi="仿宋_GB2312" w:cs="仿宋_GB2312" w:eastAsia="仿宋_GB2312"/>
        </w:rPr>
        <w:t>陕西柏骁项目管理有限公司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陕西柏骁项目管理有限公司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陕西柏骁项目管理有限公司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交付竣工验收的工程，必须符合规定的工程质量标准， 有完整的工程技术经济资料和经签著的工程保修书， 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联系人：梁女士</w:t>
      </w:r>
    </w:p>
    <w:p>
      <w:pPr>
        <w:pStyle w:val="null3"/>
      </w:pPr>
      <w:r>
        <w:rPr>
          <w:rFonts w:ascii="仿宋_GB2312" w:hAnsi="仿宋_GB2312" w:cs="仿宋_GB2312" w:eastAsia="仿宋_GB2312"/>
        </w:rPr>
        <w:t>联系电话：0916-8211122</w:t>
      </w:r>
    </w:p>
    <w:p>
      <w:pPr>
        <w:pStyle w:val="null3"/>
      </w:pPr>
      <w:r>
        <w:rPr>
          <w:rFonts w:ascii="仿宋_GB2312" w:hAnsi="仿宋_GB2312" w:cs="仿宋_GB2312" w:eastAsia="仿宋_GB2312"/>
        </w:rPr>
        <w:t>地址：陕西省汉中市洋县北二环东段云江月酒店向东30米</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810,000.00</w:t>
      </w:r>
    </w:p>
    <w:p>
      <w:pPr>
        <w:pStyle w:val="null3"/>
      </w:pPr>
      <w:r>
        <w:rPr>
          <w:rFonts w:ascii="仿宋_GB2312" w:hAnsi="仿宋_GB2312" w:cs="仿宋_GB2312" w:eastAsia="仿宋_GB2312"/>
        </w:rPr>
        <w:t>采购包最高限价（元）: 743,775.33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开明寺塔安防工程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810,000.00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标的名称：开明寺塔安防工程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1、建设单位:洋县文物广电局</w:t>
            </w:r>
          </w:p>
          <w:p>
            <w:pPr>
              <w:pStyle w:val="null3"/>
            </w:pPr>
            <w:r>
              <w:rPr>
                <w:rFonts w:ascii="仿宋_GB2312" w:hAnsi="仿宋_GB2312" w:cs="仿宋_GB2312" w:eastAsia="仿宋_GB2312"/>
              </w:rPr>
              <w:t>2、项目名称：开明寺塔安防工程</w:t>
            </w:r>
            <w:r>
              <w:br/>
            </w:r>
            <w:r>
              <w:rPr>
                <w:rFonts w:ascii="仿宋_GB2312" w:hAnsi="仿宋_GB2312" w:cs="仿宋_GB2312" w:eastAsia="仿宋_GB2312"/>
              </w:rPr>
              <w:t xml:space="preserve"> 3、建设地点：洋县开明寺广场</w:t>
            </w:r>
          </w:p>
          <w:p>
            <w:pPr>
              <w:pStyle w:val="null3"/>
            </w:pPr>
            <w:r>
              <w:rPr>
                <w:rFonts w:ascii="仿宋_GB2312" w:hAnsi="仿宋_GB2312" w:cs="仿宋_GB2312" w:eastAsia="仿宋_GB2312"/>
              </w:rPr>
              <w:t>二、实施范围</w:t>
            </w:r>
          </w:p>
          <w:p>
            <w:pPr>
              <w:pStyle w:val="null3"/>
            </w:pPr>
            <w:r>
              <w:rPr>
                <w:rFonts w:ascii="仿宋_GB2312" w:hAnsi="仿宋_GB2312" w:cs="仿宋_GB2312" w:eastAsia="仿宋_GB2312"/>
              </w:rPr>
              <w:t>采购内容：地波微震动探测系统1套、入侵和紧急报警系统1套、视频安防视频管理系统1套、出入口控制系统1套、防雷与接地系统1套、传输系统（供电传输系统1套、信号传输系统1套）、监控室工程。</w:t>
            </w:r>
          </w:p>
          <w:p>
            <w:pPr>
              <w:pStyle w:val="null3"/>
            </w:pPr>
            <w:r>
              <w:rPr>
                <w:rFonts w:ascii="仿宋_GB2312" w:hAnsi="仿宋_GB2312" w:cs="仿宋_GB2312" w:eastAsia="仿宋_GB2312"/>
              </w:rPr>
              <w:t>主要功能或</w:t>
            </w:r>
            <w:r>
              <w:rPr>
                <w:rFonts w:ascii="仿宋_GB2312" w:hAnsi="仿宋_GB2312" w:cs="仿宋_GB2312" w:eastAsia="仿宋_GB2312"/>
              </w:rPr>
              <w:t>目标：对文物重点位置等进行实时监控，对进入文物保护区人员进行全程跟踪，系统应能达到报警手段可靠、及时、准确，取证清晰、有据可查。充分发挥“技防”优势，在“物防”与“人防”的协调下，把文物破坏/盗掘消灭在初始阶段，取得与文物犯罪活动做斗争的胜利，从而有效地防止文物被破坏、被盗案件的发生。具体详见本工程施工图纸及工程量清单；</w:t>
            </w:r>
          </w:p>
          <w:p>
            <w:pPr>
              <w:pStyle w:val="null3"/>
            </w:pPr>
            <w:r>
              <w:rPr>
                <w:rFonts w:ascii="仿宋_GB2312" w:hAnsi="仿宋_GB2312" w:cs="仿宋_GB2312" w:eastAsia="仿宋_GB2312"/>
              </w:rPr>
              <w:t>三、工期：90日历天；</w:t>
            </w:r>
          </w:p>
          <w:p>
            <w:pPr>
              <w:pStyle w:val="null3"/>
            </w:pPr>
            <w:r>
              <w:rPr>
                <w:rFonts w:ascii="仿宋_GB2312" w:hAnsi="仿宋_GB2312" w:cs="仿宋_GB2312" w:eastAsia="仿宋_GB2312"/>
              </w:rPr>
              <w:t>四、质量标准：符合国家及行业现行技术规范标准，符合国家及行业验收合格标准;</w:t>
            </w:r>
          </w:p>
          <w:p>
            <w:pPr>
              <w:pStyle w:val="null3"/>
            </w:pPr>
            <w:r>
              <w:rPr>
                <w:rFonts w:ascii="仿宋_GB2312" w:hAnsi="仿宋_GB2312" w:cs="仿宋_GB2312" w:eastAsia="仿宋_GB2312"/>
              </w:rPr>
              <w:t>五、质量保修期：2年。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1、技术要求详见本工程施工图纸及工程量清单； 2、在施工期间，成交供应商必须注意人员安全，加强安全措施，并对施工人员进行安全教育，施工人员必须持证上岗。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供应商须具备建设行政主管部门颁发的电子与智能化工程专业承包一级资质，同时具备有效的安全生产许可证，并在人员、设备、资金等方面具备相应的施工能力</w:t>
            </w:r>
          </w:p>
        </w:tc>
        <w:tc>
          <w:tcPr>
            <w:tcW w:type="dxa" w:w="1661"/>
          </w:tcPr>
          <w:p>
            <w:pPr>
              <w:pStyle w:val="null3"/>
            </w:pPr>
            <w:r>
              <w:rPr>
                <w:rFonts w:ascii="仿宋_GB2312" w:hAnsi="仿宋_GB2312" w:cs="仿宋_GB2312" w:eastAsia="仿宋_GB2312"/>
              </w:rPr>
              <w:t>供应商应提交的相关资格证明.docx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拟派项目负责人具备有效的机电工程专业二级及以上注册建造师证书，具备有效的安全生产考核合格证书(安全B证)，在本单位注册，并出具近半年的社保证明，且无在建项目（提供无在建工程承诺书）</w:t>
            </w:r>
          </w:p>
        </w:tc>
        <w:tc>
          <w:tcPr>
            <w:tcW w:type="dxa" w:w="1661"/>
          </w:tcPr>
          <w:p>
            <w:pPr>
              <w:pStyle w:val="null3"/>
            </w:pPr>
            <w:r>
              <w:rPr>
                <w:rFonts w:ascii="仿宋_GB2312" w:hAnsi="仿宋_GB2312" w:cs="仿宋_GB2312" w:eastAsia="仿宋_GB2312"/>
              </w:rPr>
              <w:t>供应商应提交的相关资格证明.docx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供应商应出具参加本次政府采购活动前3年内在经营活动中没有重大违法违纪，截止至响应文件递交截止时间之前，供应商未被“信用中国”网站列入失信被执行人名单、重大税收违法案件当事人名单，未被列入“中国政府采购网”政府采购严重违法失信行为记录名单；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单位负责人为同一人或者存在控股、管理关系的不同单位，不得同时参加本采购项目磋商。违反规定的，其响应均无效；</w:t>
            </w:r>
          </w:p>
        </w:tc>
        <w:tc>
          <w:tcPr>
            <w:tcW w:type="dxa" w:w="1661"/>
          </w:tcPr>
          <w:p>
            <w:pPr>
              <w:pStyle w:val="null3"/>
            </w:pPr>
            <w:r>
              <w:rPr>
                <w:rFonts w:ascii="仿宋_GB2312" w:hAnsi="仿宋_GB2312" w:cs="仿宋_GB2312" w:eastAsia="仿宋_GB2312"/>
              </w:rPr>
              <w:t>供应商应提交的相关资格证明.docx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响应文件封面 供应商应提交的相关资格证明.docx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响应文件封面 技术方案.docx 已标价工程量清单 供应商应提交的相关资格证明.docx 残疾人福利性单位声明函 中小企业声明函 报价函 标的清单 项目管理机构组成表.docx 供应商类似项目业绩一览表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响应文件封面 技术方案.docx 已标价工程量清单 供应商应提交的相关资格证明.docx 残疾人福利性单位声明函 中小企业声明函 报价函 标的清单 项目管理机构组成表.docx 供应商类似项目业绩一览表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施工方案完整、针对性极强，贴合项目实际工况与重难点；技术措施科学先进、可操作性强，关键工序有专项优化方案，完全符合规范要求得7.6-10分。 施工方案完整，针对性较强，能匹配项目主要工况；技术措施合理可行，覆盖核心工序，符合规范要求，无明显疏漏得5.1-7.5分； 施工方案基本完整，针对性一般，能满足项目基础施工需求；技术措施基本可行，关键工序措施略有欠缺，基本符合规范要求得2.6-5分； 施工方案残缺不全，缺乏针对性，与项目实际严重不符；技术措施不可行，核心工序无有效措施，不符合规范要求，甚至存在原则性错误，得0-2.5分。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质量管理体系健全完善、符合规范，质量目标明确，组织机构、岗位职责、管理制度、过程控制、检验检测、隐患排查、整改闭环及持续改进措施全面、针对性强、可操作性高，能有效保障工程质量得7.6-10分； 质量管理体系较为完善，质量目标、组织机构、管理制度及主要控制措施基本齐全，关键工序、隐蔽工程、材料设备等有相应管控，整体可满足工程质量要求得5.1-7.5分； 质量管理体系基本建立，质量目标、控制措施内容较简单、针对性一般，部分关键环节管控不够细化，基本能满足施工质量基本要求得2.6-5分； 质量管理体系不健全或缺失，质量目标、控制措施笼统、缺乏可操作性，关键工序、质量验收、过程管控等内容不足，难以有效保障工程质量得0-2.5分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安全管理体系健全完善，组织机构、责任制、管理制度、应急救援、教育培训等措施全面具体、针对性强、可操作性强，安全保障能力突出得7.6-10分； 安全管理体系较为完善，安全责任、管理制度、主要防控措施基本齐全，关键工序、现场防护等有相应管控，可满足项目安全生产要求得5.1-7.5分； 安全管理体系基本建立，安全措施内容较简单、针对性一般，部分关键环节管控不够细化，基本满足安全生产基本要求得2.6-5分； 安全管理体系不健全或缺失，安全措施笼统空洞、缺乏可操作性，危大工程、现场防护、应急管理等内容不足，难以有效保障施工安全得0-2.5分。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文明施工、环保、消防管理体系与措施</w:t>
            </w:r>
          </w:p>
        </w:tc>
        <w:tc>
          <w:tcPr>
            <w:tcW w:type="dxa" w:w="2492"/>
          </w:tcPr>
          <w:p>
            <w:pPr>
              <w:pStyle w:val="null3"/>
            </w:pPr>
            <w:r>
              <w:rPr>
                <w:rFonts w:ascii="仿宋_GB2312" w:hAnsi="仿宋_GB2312" w:cs="仿宋_GB2312" w:eastAsia="仿宋_GB2312"/>
              </w:rPr>
              <w:t>管理体系健全完善，文明施工、扬尘噪声、污水固废、绿色施工、消防等措施全面具体、针对性强、可操作性高，保障措施充分可靠得7.6-10分； 管理体系较为完善，文明施工、环保、消防措施基本齐全，关键环节管控到位，可满足项目现场管理要求得5.1-7.5分； 管理体系基本建立，相关措施内容较简单、针对性一般，部分环节不够细化，基本满足现场管理基本要求得2.6-5分； 管理体系不健全或缺失，措施笼统空洞、缺乏可操作性，现场管控、环保、消防等内容不足，难以有效保障现场管理得0-2.5分。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项目重点、难点分析及对应保障措施</w:t>
            </w:r>
          </w:p>
        </w:tc>
        <w:tc>
          <w:tcPr>
            <w:tcW w:type="dxa" w:w="2492"/>
          </w:tcPr>
          <w:p>
            <w:pPr>
              <w:pStyle w:val="null3"/>
            </w:pPr>
            <w:r>
              <w:rPr>
                <w:rFonts w:ascii="仿宋_GB2312" w:hAnsi="仿宋_GB2312" w:cs="仿宋_GB2312" w:eastAsia="仿宋_GB2312"/>
              </w:rPr>
              <w:t>对项目重点、难点分析全面、精准透彻，贴合工程规模、工艺特点、现场条件及行业规范；对应保障措施具体可行、针对性强，能有效破解关键问题3.6-5分； 能识别项目主要重点、难点，但分析不够深入、针对性一般；对应保障措施内容较简单，部分环节管控不够细化，基本满足项目实施基本需求得1.6-3.5分； 对项目重点、难点识别不清或缺失，分析笼统片面；对应保障措施空洞笼统、缺乏可操作性，无法有效应对关键问题，难以保障项目顺利实施得0-1.5分。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工程进度计划与保障措施</w:t>
            </w:r>
          </w:p>
        </w:tc>
        <w:tc>
          <w:tcPr>
            <w:tcW w:type="dxa" w:w="2492"/>
          </w:tcPr>
          <w:p>
            <w:pPr>
              <w:pStyle w:val="null3"/>
            </w:pPr>
            <w:r>
              <w:rPr>
                <w:rFonts w:ascii="仿宋_GB2312" w:hAnsi="仿宋_GB2312" w:cs="仿宋_GB2312" w:eastAsia="仿宋_GB2312"/>
              </w:rPr>
              <w:t>进度计划科学合理、细化完整，贴合项目总工期要求，逻辑清晰；对应保障措施全面具体、针对性强，能有效保障工期目标实现得4.1-6分； 进度计划框架基本完整，但细节不够细化；对应保障措施内容较简单、针对性一般，基本满足工期基本要求得2.1-4分； 进度计划不合理或缺失关键内容，节点混乱、与总工期要求不符；对应保障措施笼统空洞、缺乏可操作性，难以保障工期顺利推进得0-2。</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保修方案及服务承诺</w:t>
            </w:r>
          </w:p>
        </w:tc>
        <w:tc>
          <w:tcPr>
            <w:tcW w:type="dxa" w:w="2492"/>
          </w:tcPr>
          <w:p>
            <w:pPr>
              <w:pStyle w:val="null3"/>
            </w:pPr>
            <w:r>
              <w:rPr>
                <w:rFonts w:ascii="仿宋_GB2312" w:hAnsi="仿宋_GB2312" w:cs="仿宋_GB2312" w:eastAsia="仿宋_GB2312"/>
              </w:rPr>
              <w:t>保修方案健全完善、针对性强，明确保修范围、期限、责任划分、响应流程、维修标准及质量追溯机制，贴合工程类型特点；服务承诺具体务实、保障有力，涵盖 24 小时应急响应、上门服务时限、质保期后增值服务、投诉处理闭环等内容，可操作性强，能充分保障采购人权益得3.6-5分； 保修方案较为完善，保修范围、期限、主要维修流程基本明确，符合行业规范及项目要求；服务承诺基本具体，明确响应时限、维修责任等核心内容，可满足采购人基本服务需求得2.1-3.5分； 保修方案基本建立，但内容较简单，保修流程、责任划分不够细化，针对性一般；服务承诺内容笼统，仅明确核心保修期限，部分服务细节缺失，基本满足保修基本要求得1.1-2分； 保修方案不健全或缺失，未明确保修范围、责任、流程等关键内容；服务承诺空洞无实质内容，缺乏可操作性，难以保障采购人售后权益得0-1分。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关键岗位（项目经理、技术负责人等）资质齐全且等级达标，完全符合招标文件及行业规定；专业人员、特种作业人员配置充足、分工清晰；有详细的人员进场计划、岗位职责说明书及履职考核机制，保障措施完善，可充分支撑工程高效推进得3.1-5分； 关键岗位资质满足基本要求，符合招标文件核心规定；主要专业人员配置到位，人员配置与项目需求基本匹配，有明确的人员进场安排及基础履职保障措施，能保障工程正常施工得1.6-3分； 关键岗位资质不符或缺失，专业人员、特种作业人员配置不足；人员履历与项目需求不匹配，无明确的人员进场计划及履职保障措施，难以支撑工程顺利实施得0-1.5分。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项目管理机构组成表.docx</w:t>
            </w:r>
          </w:p>
        </w:tc>
      </w:tr>
      <w:tr>
        <w:tc>
          <w:tcPr>
            <w:tcW w:type="dxa" w:w="831"/>
            <w:vMerge/>
          </w:tcPr>
          <w:p/>
        </w:tc>
        <w:tc>
          <w:tcPr>
            <w:tcW w:type="dxa" w:w="1661"/>
          </w:tcPr>
          <w:p>
            <w:pPr>
              <w:pStyle w:val="null3"/>
            </w:pPr>
            <w:r>
              <w:rPr>
                <w:rFonts w:ascii="仿宋_GB2312" w:hAnsi="仿宋_GB2312" w:cs="仿宋_GB2312" w:eastAsia="仿宋_GB2312"/>
              </w:rPr>
              <w:t>施工设备</w:t>
            </w:r>
          </w:p>
        </w:tc>
        <w:tc>
          <w:tcPr>
            <w:tcW w:type="dxa" w:w="2492"/>
          </w:tcPr>
          <w:p>
            <w:pPr>
              <w:pStyle w:val="null3"/>
            </w:pPr>
            <w:r>
              <w:rPr>
                <w:rFonts w:ascii="仿宋_GB2312" w:hAnsi="仿宋_GB2312" w:cs="仿宋_GB2312" w:eastAsia="仿宋_GB2312"/>
              </w:rPr>
              <w:t>设备配置与施工进度计划、施工工艺高度匹配，能充分保障工程施工效率和质量得3.6-5分； 设备配置与施工计划、工艺基本匹配，无明显不合理之处，能基本保障工程施工效率和质量得1.6-3.5分； 设备配置与施工计划、工艺不匹配，不能充分保障工程施工效率和质量得0-1.5分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提供供应商自2023年1月1日至今实施过的类似工程项目业绩，提供合同的复印件并加盖单位公章，以合同的签订日期为准。每提供1份得2分，最多得4分，未提供或提供的合同内容模糊无法辨认得0分。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 注：经评委一致认定，供应商的磋商最终总报价低于公认市场成本，或超过采购预算,其磋商响应将被拒绝。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详见附件：供应商应提交的相关资格证明.docx</w:t>
      </w:r>
    </w:p>
    <w:p>
      <w:pPr>
        <w:pStyle w:val="null3"/>
        <w:ind w:firstLine="960"/>
      </w:pPr>
      <w:r>
        <w:rPr>
          <w:rFonts w:ascii="仿宋_GB2312" w:hAnsi="仿宋_GB2312" w:cs="仿宋_GB2312" w:eastAsia="仿宋_GB2312"/>
        </w:rPr>
        <w:t>详见附件：项目管理机构组成表.docx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