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版本号：YDFZ-2026-00520260423003</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2026年洋县应急广播体系建设传输覆盖网络运维项目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YDFZ-2026-005</w:t>
      </w:r>
      <w:r>
        <w:br/>
      </w:r>
      <w:r>
        <w:br/>
      </w:r>
      <w:r>
        <w:br/>
      </w:r>
    </w:p>
    <w:p>
      <w:pPr>
        <w:pStyle w:val="null3"/>
        <w:jc w:val="center"/>
        <w:outlineLvl w:val="5"/>
      </w:pPr>
      <w:r>
        <w:rPr>
          <w:rFonts w:ascii="仿宋_GB2312" w:hAnsi="仿宋_GB2312" w:cs="仿宋_GB2312" w:eastAsia="仿宋_GB2312"/>
          <w:sz w:val="15"/>
          <w:b/>
        </w:rPr>
        <w:t>洋县文化和旅游局</w:t>
      </w:r>
    </w:p>
    <w:p>
      <w:pPr>
        <w:pStyle w:val="null3"/>
        <w:jc w:val="center"/>
        <w:outlineLvl w:val="5"/>
      </w:pPr>
      <w:r>
        <w:rPr>
          <w:rFonts w:ascii="仿宋_GB2312" w:hAnsi="仿宋_GB2312" w:cs="仿宋_GB2312" w:eastAsia="仿宋_GB2312"/>
          <w:sz w:val="15"/>
          <w:b/>
        </w:rPr>
        <w:t>陕西昱达方洲工程咨询有限公司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洋县文化和旅游局</w:t>
      </w:r>
      <w:r>
        <w:rPr>
          <w:rFonts w:ascii="仿宋_GB2312" w:hAnsi="仿宋_GB2312" w:cs="仿宋_GB2312" w:eastAsia="仿宋_GB2312"/>
        </w:rPr>
        <w:t>委托，拟对</w:t>
      </w:r>
      <w:r>
        <w:rPr>
          <w:rFonts w:ascii="仿宋_GB2312" w:hAnsi="仿宋_GB2312" w:cs="仿宋_GB2312" w:eastAsia="仿宋_GB2312"/>
        </w:rPr>
        <w:t>2026年洋县应急广播体系建设传输覆盖网络运维项目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YDFZ-2026-005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2026年洋县应急广播体系建设传输覆盖网络运维项目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洋县应急广播体系建设传输覆盖网络运维项目，对洋县应急广播体系建设项目的所有平台、镇村及喇叭点位提供网络传输维修、维护服务；并进行定期检查、维修维护，确保系统正常运行。服务范围包括但不限于：应急广播传输系统运维、乡镇播控传输运维、村播控传输运维、大喇叭点位传输运维的技术支撑及配置等。需满足的要求：具备相应资质，具备专项技术人员，具备类似项目经验，能提供其近年来承担并完成的类似项目业绩证明，以展示其在该领域的专业能力和施工水平。服务期限：合同签订后12个月。服务标准：项目履行整体网络传输服务安全、性能稳定等综合指标进行验收，各项指标均应符合验收标准及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负责人证明或法定代表人/负责人授权书：法定代表人/负责人授权书（附法定代表人/负责人身份证复印件）及被授权人身份证（法定代表人/负责人直接参加谈判只须提供法定代表人/负责人身份证）；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4、供应商应符合《中华人民共和国政府采购法》第三十一条规定：1.只能从唯一供应商处采购的（如涉及专利、专有技术或公共服务特殊要求）； 2.发生了不可预见的紧急情况不能从其他供应商处采购的； 3.必须保证原有采购项目一致性或者服务配套的要求，需要继续从原供应商处添购，且添购资金总额不超过原合同采购金额百分之十的。</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洋州街道东二环68号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洋县文化和旅游局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0916-2982076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洋县文化和旅游局</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洋县文化和旅游局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2026年洋县应急广播体系建设传输覆盖网络运维项目，对洋县应急广播体系建设项目的所有平台、镇村及喇叭点位提供网络传输维修、维护服务；并进行定期检查、维修维护，确保系统正常运行。服务范围包括但不限于：应急广播传输系统运维、乡镇播控传输运维、村播控传输运维、大喇叭点位传输运维的技术支撑及配置等。需满足的要求：具备相应资质，具备专项技术人员，具备类似项目经验，能提供其近年来承担并完成的类似项目业绩证明，以展示其在该领域的专业能力和施工水平。服务期限：合同签订后12个月。服务标准：项目履行整体网络传输服务安全、性能稳定等综合指标进行验收，各项指标均应符合验收标准及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整个项目实施组织机构人员需提供专业技术有效证书</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1.县级平台（1条/年）：千兆内网专线用于县平台与省平台互联，分控平台与县平台互联(含链路传输日常维护的人员及材料费用)路，含维护。 参数:裸光纤，不低于1000M链 2.县级平台（1条/年）：千兆口百兆互联网专线（公网IP）通过互联网与县平台互联（含链路传输日常维护的人员及材料费用） 参数：不低于100M链路，含维护。 3.镇级平台（18条/年）：千兆内网专线用于镇级分控平台与县平台互联(含链路传输日常维护的人员及材料费用) 参数:不低于1000M链路，含维护。 4.村级平台（287条/年）：千兆口百兆专网用于村级平台 与县平台互联(含链路传输日常维护的人员及材料费用) 参数:不低于100M链路，含维护。 5.应急管理局平台（1条/年）：千兆内网专线用于应急局分控平台与县平台互联(含链路传输日常维护的人员及材料费用) 参数:裸光纤，不低于1000M链路，含维护。 6.融媒体中心平台（2条/年）：千兆内网专线用于融媒体分控平台与县平台互联(含链路传输日常维护的人员及材料费用) 参数:裸光纤，不低于1000M链路，含维护。 7.喇叭点位（1210点位/年）：参数:村组及公共区域点位采用4G传输方式(4G流量按照每个点位每月10G预算，每天可播放时长不低于3个小时)。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洋县文化和旅游局指定地点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服务期满12个月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合同签订后12个月，项目履行整体网络传输服务安全、性能稳定等综合指标进行验收，各项指标均应符合验收标准及要求。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暂无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法定代表人/负责人证明或法定代表人/负责人授权书</w:t>
            </w:r>
          </w:p>
        </w:tc>
        <w:tc>
          <w:tcPr>
            <w:tcW w:type="dxa" w:w="3322"/>
          </w:tcPr>
          <w:p>
            <w:pPr>
              <w:pStyle w:val="null3"/>
            </w:pPr>
            <w:r>
              <w:rPr>
                <w:rFonts w:ascii="仿宋_GB2312" w:hAnsi="仿宋_GB2312" w:cs="仿宋_GB2312" w:eastAsia="仿宋_GB2312"/>
              </w:rPr>
              <w:t>法定代表人/负责人授权书（附法定代表人/负责人身份证复印件）及被授权人身份证（法定代表人/负责人直接参加谈判只须提供法定代表人/负责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供应商认为需要提交的其他材料.docx 汉中市政府采购供应商资格承诺函(1).docx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供应商应符合《中华人民共和国政府采购法》第三十一条规定</w:t>
            </w:r>
          </w:p>
        </w:tc>
        <w:tc>
          <w:tcPr>
            <w:tcW w:type="dxa" w:w="3322"/>
          </w:tcPr>
          <w:p>
            <w:pPr>
              <w:pStyle w:val="null3"/>
            </w:pPr>
            <w:r>
              <w:rPr>
                <w:rFonts w:ascii="仿宋_GB2312" w:hAnsi="仿宋_GB2312" w:cs="仿宋_GB2312" w:eastAsia="仿宋_GB2312"/>
              </w:rPr>
              <w:t>1.只能从唯一供应商处采购的（如涉及专利、专有技术或公共服务特殊要求）； 2.发生了不可预见的紧急情况不能从其他供应商处采购的； 3.必须保证原有采购项目一致性或者服务配套的要求，需要继续从原供应商处添购，且添购资金总额不超过原合同采购金额百分之十的。</w:t>
            </w:r>
          </w:p>
        </w:tc>
        <w:tc>
          <w:tcPr>
            <w:tcW w:type="dxa" w:w="1661"/>
          </w:tcPr>
          <w:p>
            <w:pPr>
              <w:pStyle w:val="null3"/>
            </w:pPr>
            <w:r>
              <w:rPr>
                <w:rFonts w:ascii="仿宋_GB2312" w:hAnsi="仿宋_GB2312" w:cs="仿宋_GB2312" w:eastAsia="仿宋_GB2312"/>
              </w:rPr>
              <w:t>供应商认为需要提交的其他材料.docx 专家论证意见表及意见汇总表.docx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供应商认为需要提交的其他材料.docx 服务方案 供应商应提交的相关资格证明材料 标的清单 报价表 提供2023年至今类似业绩.docx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详见附件：专家论证意见表及意见汇总表.docx</w:t>
      </w:r>
    </w:p>
    <w:p>
      <w:pPr>
        <w:pStyle w:val="null3"/>
        <w:ind w:firstLine="960"/>
      </w:pPr>
      <w:r>
        <w:rPr>
          <w:rFonts w:ascii="仿宋_GB2312" w:hAnsi="仿宋_GB2312" w:cs="仿宋_GB2312" w:eastAsia="仿宋_GB2312"/>
        </w:rPr>
        <w:t>详见附件：提供2023年至今类似业绩.docx</w:t>
      </w:r>
    </w:p>
    <w:p>
      <w:pPr>
        <w:pStyle w:val="null3"/>
        <w:ind w:firstLine="960"/>
      </w:pPr>
      <w:r>
        <w:rPr>
          <w:rFonts w:ascii="仿宋_GB2312" w:hAnsi="仿宋_GB2312" w:cs="仿宋_GB2312" w:eastAsia="仿宋_GB2312"/>
        </w:rPr>
        <w:t>详见附件：汉中市政府采购供应商资格承诺函(1).docx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