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5595D"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提供</w:t>
      </w:r>
      <w:r>
        <w:rPr>
          <w:rFonts w:hint="eastAsia"/>
          <w:lang w:val="en-US" w:eastAsia="zh-CN"/>
        </w:rPr>
        <w:t>2023年至今类似业绩，业绩以中标通知书或合同为准。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10162B"/>
    <w:rsid w:val="1E10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2026-04-22T00:51:00Z</dcterms:created>
  <dc:creator>杨宝莉</dc:creator>
  <cp:lastModifiedBy>杨宝莉</cp:lastModifiedBy>
  <dcterms:modified xsi:type="dcterms:W3CDTF">2026-04-22T00:54:16Z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BF1A4FE1D8DD4F91A82B27D1D58482EA_11</vt:lpwstr>
  </property>
  <property fmtid="{D5CDD505-2E9C-101B-9397-08002B2CF9AE}" pid="4" name="KSOTemplateDocerSaveRecord">
    <vt:lpwstr>eyJoZGlkIjoiOWU4MTQ2MTI1ODUwZDI4ZTBjNmE4YTA4ZmZjYjA2ZDkiLCJ1c2VySWQiOiIzNjkwOTc1OTYifQ==</vt:lpwstr>
  </property>
</Properties>
</file>