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版本号：SXBX-ZFCG-20260420260424001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2024年洋县普通省道灾毁修复工程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SXBX-ZFCG-202604</w:t>
      </w:r>
      <w:r>
        <w:br/>
      </w:r>
      <w:r>
        <w:br/>
      </w:r>
      <w:r>
        <w:br/>
      </w:r>
    </w:p>
    <w:p>
      <w:pPr>
        <w:pStyle w:val="null3"/>
        <w:jc w:val="center"/>
        <w:outlineLvl w:val="2"/>
      </w:pPr>
      <w:r>
        <w:rPr>
          <w:rFonts w:ascii="仿宋_GB2312" w:hAnsi="仿宋_GB2312" w:cs="仿宋_GB2312" w:eastAsia="仿宋_GB2312"/>
          <w:sz w:val="28"/>
          <w:b/>
        </w:rPr>
        <w:t>洋县交通运输局（机关）</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洋县交通运输局（机关）</w:t>
      </w:r>
      <w:r>
        <w:rPr>
          <w:rFonts w:ascii="仿宋_GB2312" w:hAnsi="仿宋_GB2312" w:cs="仿宋_GB2312" w:eastAsia="仿宋_GB2312"/>
        </w:rPr>
        <w:t>委托，拟对</w:t>
      </w:r>
      <w:r>
        <w:rPr>
          <w:rFonts w:ascii="仿宋_GB2312" w:hAnsi="仿宋_GB2312" w:cs="仿宋_GB2312" w:eastAsia="仿宋_GB2312"/>
        </w:rPr>
        <w:t>2024年洋县普通省道灾毁修复工程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2024年洋县普通省道灾毁修复工程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2024年洋县普通省道灾毁修复工程，拟对20处边坡滑塌，路基损坏等进行修复或新建挡墙，28处波形护栏损坏进行新建或修复，修复路基边沟500米;清理塌方12处，路基悬空回填6处。具体内容详见工程量清单。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采购包1（S103K238+629-K301+379灾毁恢复重建工程）：属于专门面向中小企业采购。</w:t>
      </w:r>
    </w:p>
    <w:p>
      <w:pPr>
        <w:pStyle w:val="null3"/>
      </w:pPr>
      <w:r>
        <w:rPr>
          <w:rFonts w:ascii="仿宋_GB2312" w:hAnsi="仿宋_GB2312" w:cs="仿宋_GB2312" w:eastAsia="仿宋_GB2312"/>
        </w:rPr>
        <w:t>采购包2（S218K101+348-K189+637灾毁恢复重建工程）：属于专门面向中小企业采购。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3、供应商资质要求：供应商应具备建设行政部门核发的公路工程施工总承包三级（含三级）及以上资质，并具备有效的安全生产许可证；</w:t>
      </w:r>
    </w:p>
    <w:p>
      <w:pPr>
        <w:pStyle w:val="null3"/>
      </w:pPr>
      <w:r>
        <w:rPr>
          <w:rFonts w:ascii="仿宋_GB2312" w:hAnsi="仿宋_GB2312" w:cs="仿宋_GB2312" w:eastAsia="仿宋_GB2312"/>
        </w:rPr>
        <w:t>4、拟派项目负责人资质：拟派项目负责人应具备公路工程专业二级（含二级）及以上注册建造师资格、具有有效的安全考核合格证（B证），且无在建工程；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3、供应商资质要求：供应商应具备建设行政部门核发的公路工程施工总承包三级（含三级）及以上资质，并具备有效的安全生产许可证；</w:t>
      </w:r>
    </w:p>
    <w:p>
      <w:pPr>
        <w:pStyle w:val="null3"/>
      </w:pPr>
      <w:r>
        <w:rPr>
          <w:rFonts w:ascii="仿宋_GB2312" w:hAnsi="仿宋_GB2312" w:cs="仿宋_GB2312" w:eastAsia="仿宋_GB2312"/>
        </w:rPr>
        <w:t>4、拟派项目负责人资质：拟派项目负责人应具备公路工程专业二级（含二级）及以上注册建造师资格、具有有效的安全考核合格证（B证），且无在建工程；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洋县交通运输局（机关）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洋县南环路74号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洋县交通运输局（机关）经办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13572607957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陕西省汉中市洋县北二环云江月酒店向东30米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采购包1：1,055,200.00元</w:t>
            </w:r>
          </w:p>
          <w:p>
            <w:pPr>
              <w:pStyle w:val="null3"/>
            </w:pPr>
            <w:r>
              <w:rPr>
                <w:rFonts w:ascii="仿宋_GB2312" w:hAnsi="仿宋_GB2312" w:cs="仿宋_GB2312" w:eastAsia="仿宋_GB2312"/>
              </w:rPr>
              <w:t>采购包2：916,400.00元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收费依据及支付依据：按照“国家计委关于印发《招标代理服务费管理暂行办法的通知》（计价格【2002】1980号）”规定收费标准收取。以项目中标价格为基数，按照合同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洋县交通运输局（机关）</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洋县交通运输局（机关）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洋县交通运输局（机关）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地址：陕西省汉中市洋县北二环云江月酒店向东30米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1,055,200.00</w:t>
      </w:r>
    </w:p>
    <w:p>
      <w:pPr>
        <w:pStyle w:val="null3"/>
      </w:pPr>
      <w:r>
        <w:rPr>
          <w:rFonts w:ascii="仿宋_GB2312" w:hAnsi="仿宋_GB2312" w:cs="仿宋_GB2312" w:eastAsia="仿宋_GB2312"/>
        </w:rPr>
        <w:t>采购包最高限价（元）: 1,054,938.87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按期完成合同内所有施工内容工程质量交验合格</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1,055,200.00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916,400.00</w:t>
      </w:r>
    </w:p>
    <w:p>
      <w:pPr>
        <w:pStyle w:val="null3"/>
      </w:pPr>
      <w:r>
        <w:rPr>
          <w:rFonts w:ascii="仿宋_GB2312" w:hAnsi="仿宋_GB2312" w:cs="仿宋_GB2312" w:eastAsia="仿宋_GB2312"/>
        </w:rPr>
        <w:t>采购包最高限价（元）: 915,130.87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按期完成合同内所有施工任务工程质量交验合格</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916,400.00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标的名称：按期完成合同内所有施工内容工程质量交验合格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一、建设内容（S103K238+629-K301+379灾毁恢复重建工程）：新建M7.5浆砌片石挡墙1666.32m³、挖除20cm旧路面528㎡、恢复20cm厚C20混凝土路面528㎡、换填100cm厚砂夹石 586.5m³、C20混凝土基层586.5㎡、新建Cr-B-2C波形护栏469m。（具体内容详见工程量清单）</w:t>
            </w:r>
          </w:p>
          <w:p>
            <w:pPr>
              <w:pStyle w:val="null3"/>
            </w:pPr>
            <w:r>
              <w:rPr>
                <w:rFonts w:ascii="仿宋_GB2312" w:hAnsi="仿宋_GB2312" w:cs="仿宋_GB2312" w:eastAsia="仿宋_GB2312"/>
                <w:sz w:val="21"/>
              </w:rPr>
              <w:t>二、工期要求：90日历天；</w:t>
            </w:r>
          </w:p>
          <w:p>
            <w:pPr>
              <w:pStyle w:val="null3"/>
            </w:pPr>
            <w:r>
              <w:rPr>
                <w:rFonts w:ascii="仿宋_GB2312" w:hAnsi="仿宋_GB2312" w:cs="仿宋_GB2312" w:eastAsia="仿宋_GB2312"/>
                <w:sz w:val="21"/>
              </w:rPr>
              <w:t>三、缺陷责任期：自竣工验收合格之日起满1年；</w:t>
            </w:r>
          </w:p>
          <w:p>
            <w:pPr>
              <w:pStyle w:val="null3"/>
            </w:pPr>
            <w:r>
              <w:rPr>
                <w:rFonts w:ascii="仿宋_GB2312" w:hAnsi="仿宋_GB2312" w:cs="仿宋_GB2312" w:eastAsia="仿宋_GB2312"/>
                <w:sz w:val="21"/>
              </w:rPr>
              <w:t>四、质量保修期：自竣工验收合格之日起满2年；</w:t>
            </w:r>
          </w:p>
          <w:p>
            <w:pPr>
              <w:pStyle w:val="null3"/>
            </w:pPr>
            <w:r>
              <w:rPr>
                <w:rFonts w:ascii="仿宋_GB2312" w:hAnsi="仿宋_GB2312" w:cs="仿宋_GB2312" w:eastAsia="仿宋_GB2312"/>
                <w:sz w:val="21"/>
              </w:rPr>
              <w:t>五、质量要求：交（竣）工验收的质量评定：合格；</w:t>
            </w:r>
          </w:p>
          <w:p>
            <w:pPr>
              <w:pStyle w:val="null3"/>
            </w:pPr>
            <w:r>
              <w:rPr>
                <w:rFonts w:ascii="仿宋_GB2312" w:hAnsi="仿宋_GB2312" w:cs="仿宋_GB2312" w:eastAsia="仿宋_GB2312"/>
                <w:sz w:val="21"/>
              </w:rPr>
              <w:t>六、安全目标：平安工地创建全覆盖，安全生产责任事故为零。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标的名称：按期完成合同内所有施工任务工程质量交验合格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一、建设内容 （S218K101+348-K189+637灾毁恢复重建工程）：新建M7.5浆砌片石挡墙1683.94m³、挖除20cm旧路面508.56㎡、恢复20cm厚C20混凝土路面508.86㎡、换填50cm厚砂夹石254.43m³、C20混凝土基层577.39㎡、新建Cr-B-2C波形护栏30m。（具体内容详见工程量清单）</w:t>
            </w:r>
          </w:p>
          <w:p>
            <w:pPr>
              <w:pStyle w:val="null3"/>
            </w:pPr>
            <w:r>
              <w:rPr>
                <w:rFonts w:ascii="仿宋_GB2312" w:hAnsi="仿宋_GB2312" w:cs="仿宋_GB2312" w:eastAsia="仿宋_GB2312"/>
                <w:sz w:val="21"/>
              </w:rPr>
              <w:t>二、工期要求：90日历天；</w:t>
            </w:r>
          </w:p>
          <w:p>
            <w:pPr>
              <w:pStyle w:val="null3"/>
            </w:pPr>
            <w:r>
              <w:rPr>
                <w:rFonts w:ascii="仿宋_GB2312" w:hAnsi="仿宋_GB2312" w:cs="仿宋_GB2312" w:eastAsia="仿宋_GB2312"/>
                <w:sz w:val="21"/>
              </w:rPr>
              <w:t>三、缺陷责任期：</w:t>
            </w:r>
            <w:r>
              <w:rPr>
                <w:rFonts w:ascii="仿宋_GB2312" w:hAnsi="仿宋_GB2312" w:cs="仿宋_GB2312" w:eastAsia="仿宋_GB2312"/>
                <w:sz w:val="21"/>
              </w:rPr>
              <w:t>自竣工验收合格之日起满</w:t>
            </w:r>
            <w:r>
              <w:rPr>
                <w:rFonts w:ascii="仿宋_GB2312" w:hAnsi="仿宋_GB2312" w:cs="仿宋_GB2312" w:eastAsia="仿宋_GB2312"/>
                <w:sz w:val="21"/>
              </w:rPr>
              <w:t>1年；</w:t>
            </w:r>
          </w:p>
          <w:p>
            <w:pPr>
              <w:pStyle w:val="null3"/>
            </w:pPr>
            <w:r>
              <w:rPr>
                <w:rFonts w:ascii="仿宋_GB2312" w:hAnsi="仿宋_GB2312" w:cs="仿宋_GB2312" w:eastAsia="仿宋_GB2312"/>
                <w:sz w:val="21"/>
              </w:rPr>
              <w:t>四、质量保修期：</w:t>
            </w:r>
            <w:r>
              <w:rPr>
                <w:rFonts w:ascii="仿宋_GB2312" w:hAnsi="仿宋_GB2312" w:cs="仿宋_GB2312" w:eastAsia="仿宋_GB2312"/>
                <w:sz w:val="21"/>
              </w:rPr>
              <w:t>自竣工验收合格之日起满2年</w:t>
            </w:r>
            <w:r>
              <w:rPr>
                <w:rFonts w:ascii="仿宋_GB2312" w:hAnsi="仿宋_GB2312" w:cs="仿宋_GB2312" w:eastAsia="仿宋_GB2312"/>
                <w:sz w:val="21"/>
              </w:rPr>
              <w:t>；</w:t>
            </w:r>
          </w:p>
          <w:p>
            <w:pPr>
              <w:pStyle w:val="null3"/>
            </w:pPr>
            <w:r>
              <w:rPr>
                <w:rFonts w:ascii="仿宋_GB2312" w:hAnsi="仿宋_GB2312" w:cs="仿宋_GB2312" w:eastAsia="仿宋_GB2312"/>
                <w:sz w:val="21"/>
              </w:rPr>
              <w:t>五、质量要求：交（竣）工验收的质量评定：合格；</w:t>
            </w:r>
          </w:p>
          <w:p>
            <w:pPr>
              <w:pStyle w:val="null3"/>
            </w:pPr>
            <w:r>
              <w:rPr>
                <w:rFonts w:ascii="仿宋_GB2312" w:hAnsi="仿宋_GB2312" w:cs="仿宋_GB2312" w:eastAsia="仿宋_GB2312"/>
                <w:sz w:val="21"/>
              </w:rPr>
              <w:t>六、安全目标：平安工地创建全覆盖，安全生产责任事故为零。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质量标准：交（竣）工验收的质量评定：合格。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质量标准：交（竣）工验收的质量评定：合格。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漏项处理:施工过程中发现工程量清单中存在漏项工程的，该漏项工程作为本项目采购的组成部分，采购人和供应商可以按照双方合同的规定协商解决。</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供应商应充分考虑采购文件的各项条款、项目现场实际情况、供应商所掌握的市场情况及现行有关政策法规的要求，按照采购人提供的工程量清单依照相关文件结合企业自身情况及上述要求自主做出报价。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供应商应具备建设行政部门核发的公路工程施工总承包三级（含三级）及以上资质，并具备有效的安全生产许可证；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拟派项目负责人应具备公路工程专业二级（含二级）及以上注册建造师资格、具有有效的安全考核合格证（B证），且无在建工程；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供应商应具备建设行政部门核发的公路工程施工总承包三级（含三级）及以上资质，并具备有效的安全生产许可证；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拟派项目负责人应具备公路工程专业二级（含二级）及以上注册建造师资格、具有有效的安全考核合格证（B证），且无在建工程；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响应文件签字、盖章及投标（响应）有效期、磋商保证金符合采购文件要求。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 ①施工目标：每完全满足一个评审标准得1分，满分3分； ②施工平面布置与安排：每完全满足一个评审标准得1分，满分3分。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1、完整性：措施必须全面，对评审内容中的各项要求有详细描述；2、可实施性：切合本项目实际情况，实施步骤清晰、合理；3、针对性：能够紧扣项目实际情况 ，内容科学合理。 三、赋分标准（针对每条评审标准，如存在不合理的方面每处扣0.5分） ①质量目标管理体系：每完全满足一个评审标准得1分，满分3分； ②施工质量检验制度：每完全满足一个评审标准得1分，满分3分； ③确保质量的技术组织措施：每完全满足一个评审标准得1分，满分3分。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供应商针对本项目编制完整的安全文明施工措施，内容包含：①安全生产管理制度②安全文明施工措施③安全生产教育及安全应急预案。 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（针对每条评审标准，如存在不合理的方面每处扣0.5分）①安全生产管理制度：每完全满足一个评审标准得1分，满分3分； ②安全文明施工措施：每完全满足一个评审标准得1分，满分3分； ③安全生产教育及安全应急预案：每完全满足一个评审标准得1分，满分3分。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（针对每条评审标准，如存在不合理的方面每处扣0.5分）①施工进度目标：每完全满足一个评审标准得1分，满分3分；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供应商针对本项目编制科学合理的施工机械配备投入计划，内容包括：①机械设备和材料投入计划② 拟投入的机械设备计划表。二、评审标准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三、赋分标准（针对每条评审标准，如存在不合理的方面每处扣0.5分） ①机械设备和材料投入计划：每完全满足一个评审标准得1分，满分3分； ②拟投入的机械设备计划表，每完全满足一个评审标准得1分，满分3分。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供应商针对本项目编制完善的后期服务方案，内容包含：①服务范围及后期保障措施②突发事件处理时限与措施③缺陷责任期、质量保修期及定期回访维护措施。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 ①服务范围及后期保障措施：每完全满足一个评审标准得1分，满分3分； ②突发事件处理时限与措施：每完全满足一个评审标准得1分，满分3分；③保修期及定期回访维护措施：每完全满足一个评审标准得1分，满分3分。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供应商提供自2023年1月1日起，至今完成的类似项目业绩，每提供一份得2分，此项最高得4.0分；注：业绩须是类似项目，以中标通知书或合同为准。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 ①施工目标：每完全满足一个评审标准得1分，满分3分； ②施工平面布置与安排：每完全满足一个评审标准得1分，满分3分。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1、完整性：措施必须全面，对评审内容中的各项要求有详细描述；2、可实施性：切合本项目实际情况，实施步骤清晰、合理；3、针对性：能够紧扣项目实际情况 ，内容科学合理。 三、赋分标准（针对每条评审标准，如存在不合理的方面每处扣0.5分） ①质量目标管理体系：每完全满足一个评审标准得1分，满分3分； ②施工质量检验制度：每完全满足一个评审标准得1分，满分3分； ③确保质量的技术组织措施：每完全满足一个评审标准得1分，满分3分。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供应商针对本项目编制完整的安全文明施工措施，内容包含：①安全生产管理制度②安全文明施工措施③安全生产教育及安全应急预案。 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（针对每条评审标准，如存在不合理的方面每处扣0.5分）①安全生产管理制度：每完全满足一个评审标准得1分，满分3分； ②安全文明施工措施：每完全满足一个评审标准得1分，满分3分； ③安全生产教育及安全应急预案：每完全满足一个评审标准得1分，满分3分。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（针对每条评审标准，如存在不合理的方面每处扣0.5分）①施工进度目标：每完全满足一个评审标准得1分，满分3分；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供应商针对本项目编制科学合理的施工机械配备投入计划，内容包括：①机械设备和材料投入计划② 拟投入的机械设备计划表。二、评审标准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三、赋分标准（针对每条评审标准，如存在不合理的方面每处扣0.5分） ①机械设备和材料投入计划：每完全满足一个评审标准得1分，满分3分； ②拟投入的机械设备计划表，每完全满足一个评审标准得1分，满分3分。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供应商针对本项目编制完善的后期服务方案，内容包含：①服务范围及后期保障措施②突发事件处理时限与措施③缺陷责任期、质量保修期及定期回访维护措施。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 ①服务范围及后期保障措施：每完全满足一个评审标准得1分，满分3分； ②突发事件处理时限与措施：每完全满足一个评审标准得1分，满分3分；③保修期及定期回访维护措施：每完全满足一个评审标准得1分，满分3分。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供应商提供自2023年1月1日起，至今完成的类似项目业绩，每提供一份得2分，此项最高得4.0分；注：业绩须是类似项目，以中标通知书或合同为准。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