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版本号：ZZHHCG-2026-010520260427001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洋县托育机构建设项目装饰工程设计服务采购项目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ZZHHCG-2026-0105</w:t>
      </w:r>
      <w:r>
        <w:br/>
      </w:r>
      <w:r>
        <w:br/>
      </w:r>
      <w:r>
        <w:br/>
      </w:r>
    </w:p>
    <w:p>
      <w:pPr>
        <w:pStyle w:val="null3"/>
        <w:jc w:val="center"/>
        <w:outlineLvl w:val="2"/>
      </w:pPr>
      <w:r>
        <w:rPr>
          <w:rFonts w:ascii="仿宋_GB2312" w:hAnsi="仿宋_GB2312" w:cs="仿宋_GB2312" w:eastAsia="仿宋_GB2312"/>
          <w:sz w:val="28"/>
          <w:b/>
        </w:rPr>
        <w:t>洋县妇幼保健计划生育服务中心</w:t>
      </w:r>
    </w:p>
    <w:p>
      <w:pPr>
        <w:pStyle w:val="null3"/>
        <w:jc w:val="center"/>
        <w:outlineLvl w:val="2"/>
      </w:pPr>
      <w:r>
        <w:rPr>
          <w:rFonts w:ascii="仿宋_GB2312" w:hAnsi="仿宋_GB2312" w:cs="仿宋_GB2312" w:eastAsia="仿宋_GB2312"/>
          <w:sz w:val="28"/>
          <w:b/>
        </w:rPr>
        <w:t>陕西中正浩华项目管理有限公司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陕西中正浩华项目管理有限公司</w:t>
      </w:r>
      <w:r>
        <w:rPr>
          <w:rFonts w:ascii="仿宋_GB2312" w:hAnsi="仿宋_GB2312" w:cs="仿宋_GB2312" w:eastAsia="仿宋_GB2312"/>
        </w:rPr>
        <w:t>（以下简称“代理机构”）受</w:t>
      </w:r>
      <w:r>
        <w:rPr>
          <w:rFonts w:ascii="仿宋_GB2312" w:hAnsi="仿宋_GB2312" w:cs="仿宋_GB2312" w:eastAsia="仿宋_GB2312"/>
        </w:rPr>
        <w:t>洋县妇幼保健计划生育服务中心</w:t>
      </w:r>
      <w:r>
        <w:rPr>
          <w:rFonts w:ascii="仿宋_GB2312" w:hAnsi="仿宋_GB2312" w:cs="仿宋_GB2312" w:eastAsia="仿宋_GB2312"/>
        </w:rPr>
        <w:t>委托，拟对</w:t>
      </w:r>
      <w:r>
        <w:rPr>
          <w:rFonts w:ascii="仿宋_GB2312" w:hAnsi="仿宋_GB2312" w:cs="仿宋_GB2312" w:eastAsia="仿宋_GB2312"/>
        </w:rPr>
        <w:t>洋县托育机构建设项目装饰工程设计服务采购项目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ZZHHCG-2026-0105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洋县托育机构建设项目装饰工程设计服务采购项目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洋县托育机构建设项目总建筑面积8617.68平方米，本次设计范围为地上建筑面积6801.76平方米。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采购包1（洋县托育机构建设项目装饰工程设计服务采购项目）：属于专门面向中小企业采购。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身份证明或授权委托书：法定代表人直接参加磋商的，须出具法定代表人（单位负责人）身份证明。法定代表人授权代表参加磋商的，须出具法定代表人（单位负责人）授权委托书及被授权人身份证复印件；</w:t>
      </w:r>
    </w:p>
    <w:p>
      <w:pPr>
        <w:pStyle w:val="null3"/>
      </w:pPr>
      <w:r>
        <w:rPr>
          <w:rFonts w:ascii="仿宋_GB2312" w:hAnsi="仿宋_GB2312" w:cs="仿宋_GB2312" w:eastAsia="仿宋_GB2312"/>
        </w:rPr>
        <w:t>3、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4、资质要求：供应商需具备工程设计综合资质甲级资质或建筑行业工程设计乙级及以上或建筑行业（建筑工程）乙级及以上资质，或建筑装饰工程设计专项资质乙级；</w:t>
      </w:r>
    </w:p>
    <w:p>
      <w:pPr>
        <w:pStyle w:val="null3"/>
      </w:pPr>
      <w:r>
        <w:rPr>
          <w:rFonts w:ascii="仿宋_GB2312" w:hAnsi="仿宋_GB2312" w:cs="仿宋_GB2312" w:eastAsia="仿宋_GB2312"/>
        </w:rPr>
        <w:t>5、设计负责人：供应商拟派设计负责人具备注册建筑师二级及以上执业资格且在本单位注册。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洋县妇幼保健计划生育服务中心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洋县东二环路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洋县妇幼保健计划生育服务中心经办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0916-8227166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陕西中正浩华项目管理有限公司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陕西省汉中市南郑区陕西省汉中市南郑区大河坎镇大河坎社区裕华欧洲城小区三号楼605室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18165118328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关于招标代理服务收费有关问题的通知》(发改办价格(2003)857号)以及《国家发展改革委关于降低部分建设项目收费标准规范收费行为等有关问题的通知》(发改价格(2011)534号)规定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洋县妇幼保健计划生育服务中心</w:t>
      </w:r>
      <w:r>
        <w:rPr>
          <w:rFonts w:ascii="仿宋_GB2312" w:hAnsi="仿宋_GB2312" w:cs="仿宋_GB2312" w:eastAsia="仿宋_GB2312"/>
        </w:rPr>
        <w:t>和</w:t>
      </w:r>
      <w:r>
        <w:rPr>
          <w:rFonts w:ascii="仿宋_GB2312" w:hAnsi="仿宋_GB2312" w:cs="仿宋_GB2312" w:eastAsia="仿宋_GB2312"/>
        </w:rPr>
        <w:t>陕西中正浩华项目管理有限公司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洋县妇幼保健计划生育服务中心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陕西中正浩华项目管理有限公司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洋县妇幼保健计划生育服务中心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陕西中正浩华项目管理有限公司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联系人：廖浩</w:t>
      </w:r>
    </w:p>
    <w:p>
      <w:pPr>
        <w:pStyle w:val="null3"/>
      </w:pPr>
      <w:r>
        <w:rPr>
          <w:rFonts w:ascii="仿宋_GB2312" w:hAnsi="仿宋_GB2312" w:cs="仿宋_GB2312" w:eastAsia="仿宋_GB2312"/>
        </w:rPr>
        <w:t>联系电话：18165118328</w:t>
      </w:r>
    </w:p>
    <w:p>
      <w:pPr>
        <w:pStyle w:val="null3"/>
      </w:pPr>
      <w:r>
        <w:rPr>
          <w:rFonts w:ascii="仿宋_GB2312" w:hAnsi="仿宋_GB2312" w:cs="仿宋_GB2312" w:eastAsia="仿宋_GB2312"/>
        </w:rPr>
        <w:t>地址： 陕西省汉中市南郑区渔营路与江古路十字路口凯奇酒店东侧二楼商铺</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洋县托育机构建设项目装饰工程设计服务采购项目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洋县托育机构建设项目装饰工程设计服务采购项目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标的名称：洋县托育机构建设项目装饰工程设计服务采购项目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(一)设计内容</w:t>
            </w:r>
          </w:p>
          <w:p>
            <w:pPr>
              <w:pStyle w:val="null3"/>
              <w:ind w:firstLine="408"/>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装饰</w:t>
            </w:r>
            <w:r>
              <w:rPr>
                <w:rFonts w:ascii="仿宋_GB2312" w:hAnsi="仿宋_GB2312" w:cs="仿宋_GB2312" w:eastAsia="仿宋_GB2312"/>
                <w:sz w:val="21"/>
                <w:color w:val="000000"/>
              </w:rPr>
              <w:t>方案设计</w:t>
            </w:r>
          </w:p>
          <w:p>
            <w:pPr>
              <w:pStyle w:val="null3"/>
              <w:ind w:firstLine="424"/>
              <w:jc w:val="left"/>
            </w:pPr>
            <w:r>
              <w:rPr>
                <w:rFonts w:ascii="仿宋_GB2312" w:hAnsi="仿宋_GB2312" w:cs="仿宋_GB2312" w:eastAsia="仿宋_GB2312"/>
                <w:sz w:val="21"/>
                <w:color w:val="000000"/>
              </w:rPr>
              <w:t>1.1针对本项目提供所涉及范围内的详细方案设计工作；</w:t>
            </w:r>
          </w:p>
          <w:p>
            <w:pPr>
              <w:pStyle w:val="null3"/>
              <w:ind w:firstLine="420"/>
              <w:jc w:val="left"/>
            </w:pPr>
            <w:r>
              <w:rPr>
                <w:rFonts w:ascii="仿宋_GB2312" w:hAnsi="仿宋_GB2312" w:cs="仿宋_GB2312" w:eastAsia="仿宋_GB2312"/>
                <w:sz w:val="21"/>
                <w:color w:val="000000"/>
              </w:rPr>
              <w:t>1.2设计必须按照国家和地方相关法律法规及现行有关标准规范或规程的要求开展；</w:t>
            </w:r>
          </w:p>
          <w:p>
            <w:pPr>
              <w:pStyle w:val="null3"/>
              <w:ind w:firstLine="400"/>
              <w:jc w:val="left"/>
            </w:pPr>
            <w:r>
              <w:rPr>
                <w:rFonts w:ascii="仿宋_GB2312" w:hAnsi="仿宋_GB2312" w:cs="仿宋_GB2312" w:eastAsia="仿宋_GB2312"/>
                <w:sz w:val="21"/>
                <w:color w:val="000000"/>
              </w:rPr>
              <w:t>1.3设计成果必须真实、准确、满足工程建设报规方案的需要，并在规定的时间内提交</w:t>
            </w:r>
            <w:r>
              <w:rPr>
                <w:rFonts w:ascii="仿宋_GB2312" w:hAnsi="仿宋_GB2312" w:cs="仿宋_GB2312" w:eastAsia="仿宋_GB2312"/>
                <w:sz w:val="21"/>
              </w:rPr>
              <w:t xml:space="preserve"> </w:t>
            </w:r>
            <w:r>
              <w:rPr>
                <w:rFonts w:ascii="仿宋_GB2312" w:hAnsi="仿宋_GB2312" w:cs="仿宋_GB2312" w:eastAsia="仿宋_GB2312"/>
                <w:sz w:val="21"/>
                <w:color w:val="000000"/>
              </w:rPr>
              <w:t>合格的设计成果资料，并对其真实性负责。</w:t>
            </w:r>
          </w:p>
          <w:p>
            <w:pPr>
              <w:pStyle w:val="null3"/>
              <w:ind w:firstLine="404"/>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装饰</w:t>
            </w:r>
            <w:r>
              <w:rPr>
                <w:rFonts w:ascii="仿宋_GB2312" w:hAnsi="仿宋_GB2312" w:cs="仿宋_GB2312" w:eastAsia="仿宋_GB2312"/>
                <w:sz w:val="21"/>
                <w:color w:val="000000"/>
              </w:rPr>
              <w:t>施工图设计</w:t>
            </w:r>
          </w:p>
          <w:p>
            <w:pPr>
              <w:pStyle w:val="null3"/>
              <w:ind w:firstLine="388"/>
              <w:jc w:val="left"/>
            </w:pPr>
            <w:r>
              <w:rPr>
                <w:rFonts w:ascii="仿宋_GB2312" w:hAnsi="仿宋_GB2312" w:cs="仿宋_GB2312" w:eastAsia="仿宋_GB2312"/>
                <w:sz w:val="21"/>
                <w:color w:val="000000"/>
              </w:rPr>
              <w:t>施工图设计</w:t>
            </w:r>
            <w:r>
              <w:rPr>
                <w:rFonts w:ascii="仿宋_GB2312" w:hAnsi="仿宋_GB2312" w:cs="仿宋_GB2312" w:eastAsia="仿宋_GB2312"/>
                <w:sz w:val="21"/>
                <w:color w:val="000000"/>
              </w:rPr>
              <w:t>(含</w:t>
            </w:r>
            <w:r>
              <w:rPr>
                <w:rFonts w:ascii="仿宋_GB2312" w:hAnsi="仿宋_GB2312" w:cs="仿宋_GB2312" w:eastAsia="仿宋_GB2312"/>
                <w:sz w:val="21"/>
                <w:color w:val="000000"/>
              </w:rPr>
              <w:t>装修</w:t>
            </w:r>
            <w:r>
              <w:rPr>
                <w:rFonts w:ascii="仿宋_GB2312" w:hAnsi="仿宋_GB2312" w:cs="仿宋_GB2312" w:eastAsia="仿宋_GB2312"/>
                <w:sz w:val="21"/>
                <w:color w:val="000000"/>
              </w:rPr>
              <w:t>给排水、电气、暖通等配套设施等</w:t>
            </w:r>
            <w:r>
              <w:rPr>
                <w:rFonts w:ascii="仿宋_GB2312" w:hAnsi="仿宋_GB2312" w:cs="仿宋_GB2312" w:eastAsia="仿宋_GB2312"/>
                <w:sz w:val="21"/>
                <w:color w:val="000000"/>
              </w:rPr>
              <w:t>)至本工程完工的所有阶段设计、现</w:t>
            </w:r>
            <w:r>
              <w:rPr>
                <w:rFonts w:ascii="仿宋_GB2312" w:hAnsi="仿宋_GB2312" w:cs="仿宋_GB2312" w:eastAsia="仿宋_GB2312"/>
                <w:sz w:val="21"/>
                <w:color w:val="000000"/>
              </w:rPr>
              <w:t>场设计服务及缺陷责任期设计服务等全部工作</w:t>
            </w:r>
            <w:r>
              <w:rPr>
                <w:rFonts w:ascii="仿宋_GB2312" w:hAnsi="仿宋_GB2312" w:cs="仿宋_GB2312" w:eastAsia="仿宋_GB2312"/>
                <w:sz w:val="21"/>
                <w:color w:val="000000"/>
              </w:rPr>
              <w:t>(包括</w:t>
            </w:r>
            <w:r>
              <w:rPr>
                <w:rFonts w:ascii="仿宋_GB2312" w:hAnsi="仿宋_GB2312" w:cs="仿宋_GB2312" w:eastAsia="仿宋_GB2312"/>
                <w:sz w:val="21"/>
                <w:color w:val="000000"/>
              </w:rPr>
              <w:t>平面图</w:t>
            </w:r>
            <w:r>
              <w:rPr>
                <w:rFonts w:ascii="仿宋_GB2312" w:hAnsi="仿宋_GB2312" w:cs="仿宋_GB2312" w:eastAsia="仿宋_GB2312"/>
                <w:sz w:val="21"/>
                <w:color w:val="000000"/>
              </w:rPr>
              <w:t>、</w:t>
            </w:r>
            <w:r>
              <w:rPr>
                <w:rFonts w:ascii="仿宋_GB2312" w:hAnsi="仿宋_GB2312" w:cs="仿宋_GB2312" w:eastAsia="仿宋_GB2312"/>
                <w:sz w:val="21"/>
                <w:color w:val="000000"/>
              </w:rPr>
              <w:t>立面图，</w:t>
            </w:r>
            <w:r>
              <w:rPr>
                <w:rFonts w:ascii="仿宋_GB2312" w:hAnsi="仿宋_GB2312" w:cs="仿宋_GB2312" w:eastAsia="仿宋_GB2312"/>
                <w:sz w:val="21"/>
                <w:color w:val="000000"/>
              </w:rPr>
              <w:t>剖面图、施工阶段全</w:t>
            </w:r>
            <w:r>
              <w:rPr>
                <w:rFonts w:ascii="仿宋_GB2312" w:hAnsi="仿宋_GB2312" w:cs="仿宋_GB2312" w:eastAsia="仿宋_GB2312"/>
                <w:sz w:val="21"/>
                <w:color w:val="000000"/>
              </w:rPr>
              <w:t>过程的配合、等内容</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(二)设计依据及规范</w:t>
            </w:r>
          </w:p>
          <w:p>
            <w:pPr>
              <w:pStyle w:val="null3"/>
              <w:ind w:firstLine="412"/>
              <w:jc w:val="left"/>
            </w:pPr>
            <w:r>
              <w:rPr>
                <w:rFonts w:ascii="仿宋_GB2312" w:hAnsi="仿宋_GB2312" w:cs="仿宋_GB2312" w:eastAsia="仿宋_GB2312"/>
                <w:sz w:val="21"/>
                <w:color w:val="000000"/>
              </w:rPr>
              <w:t>1、建筑设计标准</w:t>
            </w:r>
          </w:p>
          <w:p>
            <w:pPr>
              <w:pStyle w:val="null3"/>
              <w:ind w:firstLine="412"/>
              <w:jc w:val="left"/>
            </w:pPr>
            <w:r>
              <w:rPr>
                <w:rFonts w:ascii="仿宋_GB2312" w:hAnsi="仿宋_GB2312" w:cs="仿宋_GB2312" w:eastAsia="仿宋_GB2312"/>
                <w:sz w:val="21"/>
                <w:color w:val="000000"/>
              </w:rPr>
              <w:t>《建筑设计防火规范》</w:t>
            </w:r>
            <w:r>
              <w:rPr>
                <w:rFonts w:ascii="仿宋_GB2312" w:hAnsi="仿宋_GB2312" w:cs="仿宋_GB2312" w:eastAsia="仿宋_GB2312"/>
                <w:sz w:val="21"/>
                <w:color w:val="000000"/>
              </w:rPr>
              <w:t>(GB50016-2014)(2018版)</w:t>
            </w:r>
          </w:p>
          <w:p>
            <w:pPr>
              <w:pStyle w:val="null3"/>
              <w:ind w:firstLine="412"/>
              <w:jc w:val="left"/>
            </w:pPr>
            <w:r>
              <w:rPr>
                <w:rFonts w:ascii="仿宋_GB2312" w:hAnsi="仿宋_GB2312" w:cs="仿宋_GB2312" w:eastAsia="仿宋_GB2312"/>
                <w:sz w:val="21"/>
                <w:color w:val="000000"/>
              </w:rPr>
              <w:t>《建筑内部装修设计防火规范》</w:t>
            </w:r>
            <w:r>
              <w:rPr>
                <w:rFonts w:ascii="仿宋_GB2312" w:hAnsi="仿宋_GB2312" w:cs="仿宋_GB2312" w:eastAsia="仿宋_GB2312"/>
                <w:sz w:val="21"/>
                <w:color w:val="000000"/>
              </w:rPr>
              <w:t>(GB50222-2017)</w:t>
            </w:r>
          </w:p>
          <w:p>
            <w:pPr>
              <w:pStyle w:val="null3"/>
              <w:ind w:firstLine="412"/>
              <w:jc w:val="left"/>
            </w:pPr>
            <w:r>
              <w:rPr>
                <w:rFonts w:ascii="仿宋_GB2312" w:hAnsi="仿宋_GB2312" w:cs="仿宋_GB2312" w:eastAsia="仿宋_GB2312"/>
                <w:sz w:val="21"/>
                <w:color w:val="000000"/>
              </w:rPr>
              <w:t>《民用建筑设计统一标准》</w:t>
            </w:r>
            <w:r>
              <w:rPr>
                <w:rFonts w:ascii="仿宋_GB2312" w:hAnsi="仿宋_GB2312" w:cs="仿宋_GB2312" w:eastAsia="仿宋_GB2312"/>
                <w:sz w:val="21"/>
                <w:color w:val="000000"/>
              </w:rPr>
              <w:t>GB50352-2019</w:t>
            </w:r>
          </w:p>
          <w:p>
            <w:pPr>
              <w:pStyle w:val="null3"/>
              <w:ind w:firstLine="412"/>
              <w:jc w:val="left"/>
            </w:pPr>
            <w:r>
              <w:rPr>
                <w:rFonts w:ascii="仿宋_GB2312" w:hAnsi="仿宋_GB2312" w:cs="仿宋_GB2312" w:eastAsia="仿宋_GB2312"/>
                <w:sz w:val="21"/>
                <w:color w:val="000000"/>
              </w:rPr>
              <w:t>《民用建筑通用规范》</w:t>
            </w:r>
            <w:r>
              <w:rPr>
                <w:rFonts w:ascii="仿宋_GB2312" w:hAnsi="仿宋_GB2312" w:cs="仿宋_GB2312" w:eastAsia="仿宋_GB2312"/>
                <w:sz w:val="21"/>
                <w:color w:val="000000"/>
              </w:rPr>
              <w:t>(GB 55031-2022)</w:t>
            </w:r>
          </w:p>
          <w:p>
            <w:pPr>
              <w:pStyle w:val="null3"/>
              <w:ind w:firstLine="412"/>
              <w:jc w:val="left"/>
            </w:pPr>
            <w:r>
              <w:rPr>
                <w:rFonts w:ascii="仿宋_GB2312" w:hAnsi="仿宋_GB2312" w:cs="仿宋_GB2312" w:eastAsia="仿宋_GB2312"/>
                <w:sz w:val="21"/>
                <w:color w:val="000000"/>
              </w:rPr>
              <w:t>《消防设施通用规范》</w:t>
            </w:r>
            <w:r>
              <w:rPr>
                <w:rFonts w:ascii="仿宋_GB2312" w:hAnsi="仿宋_GB2312" w:cs="仿宋_GB2312" w:eastAsia="仿宋_GB2312"/>
                <w:sz w:val="21"/>
                <w:color w:val="000000"/>
              </w:rPr>
              <w:t>(GB 55036-2022</w:t>
            </w:r>
          </w:p>
          <w:p>
            <w:pPr>
              <w:pStyle w:val="null3"/>
              <w:ind w:firstLine="412"/>
              <w:jc w:val="left"/>
            </w:pPr>
            <w:r>
              <w:rPr>
                <w:rFonts w:ascii="仿宋_GB2312" w:hAnsi="仿宋_GB2312" w:cs="仿宋_GB2312" w:eastAsia="仿宋_GB2312"/>
                <w:sz w:val="21"/>
                <w:color w:val="000000"/>
              </w:rPr>
              <w:t>《建筑防火通用规范》</w:t>
            </w:r>
            <w:r>
              <w:rPr>
                <w:rFonts w:ascii="仿宋_GB2312" w:hAnsi="仿宋_GB2312" w:cs="仿宋_GB2312" w:eastAsia="仿宋_GB2312"/>
                <w:sz w:val="21"/>
                <w:color w:val="000000"/>
              </w:rPr>
              <w:t>(GB 55037-2022)</w:t>
            </w:r>
          </w:p>
          <w:p>
            <w:pPr>
              <w:pStyle w:val="null3"/>
              <w:ind w:firstLine="412"/>
              <w:jc w:val="left"/>
            </w:pPr>
            <w:r>
              <w:rPr>
                <w:rFonts w:ascii="仿宋_GB2312" w:hAnsi="仿宋_GB2312" w:cs="仿宋_GB2312" w:eastAsia="仿宋_GB2312"/>
                <w:sz w:val="21"/>
                <w:color w:val="000000"/>
              </w:rPr>
              <w:t>《无障碍设计规范》</w:t>
            </w:r>
            <w:r>
              <w:rPr>
                <w:rFonts w:ascii="仿宋_GB2312" w:hAnsi="仿宋_GB2312" w:cs="仿宋_GB2312" w:eastAsia="仿宋_GB2312"/>
                <w:sz w:val="21"/>
                <w:color w:val="000000"/>
              </w:rPr>
              <w:t>GB50763-2012</w:t>
            </w:r>
          </w:p>
          <w:p>
            <w:pPr>
              <w:pStyle w:val="null3"/>
              <w:ind w:firstLine="412"/>
              <w:jc w:val="left"/>
            </w:pPr>
            <w:r>
              <w:rPr>
                <w:rFonts w:ascii="仿宋_GB2312" w:hAnsi="仿宋_GB2312" w:cs="仿宋_GB2312" w:eastAsia="仿宋_GB2312"/>
                <w:sz w:val="21"/>
                <w:color w:val="000000"/>
              </w:rPr>
              <w:t>《办公建筑设计标准》</w:t>
            </w:r>
            <w:r>
              <w:rPr>
                <w:rFonts w:ascii="仿宋_GB2312" w:hAnsi="仿宋_GB2312" w:cs="仿宋_GB2312" w:eastAsia="仿宋_GB2312"/>
                <w:sz w:val="21"/>
                <w:color w:val="000000"/>
              </w:rPr>
              <w:t>(JGJ67-2019)</w:t>
            </w:r>
          </w:p>
          <w:p>
            <w:pPr>
              <w:pStyle w:val="null3"/>
              <w:ind w:firstLine="412"/>
              <w:jc w:val="left"/>
            </w:pPr>
            <w:r>
              <w:rPr>
                <w:rFonts w:ascii="仿宋_GB2312" w:hAnsi="仿宋_GB2312" w:cs="仿宋_GB2312" w:eastAsia="仿宋_GB2312"/>
                <w:sz w:val="21"/>
                <w:color w:val="000000"/>
              </w:rPr>
              <w:t>《饮食建筑设计标准》</w:t>
            </w:r>
            <w:r>
              <w:rPr>
                <w:rFonts w:ascii="仿宋_GB2312" w:hAnsi="仿宋_GB2312" w:cs="仿宋_GB2312" w:eastAsia="仿宋_GB2312"/>
                <w:sz w:val="21"/>
                <w:color w:val="000000"/>
              </w:rPr>
              <w:t>(JGJ64-2017)</w:t>
            </w:r>
          </w:p>
          <w:p>
            <w:pPr>
              <w:pStyle w:val="null3"/>
              <w:ind w:firstLine="412"/>
              <w:jc w:val="left"/>
            </w:pPr>
            <w:r>
              <w:rPr>
                <w:rFonts w:ascii="仿宋_GB2312" w:hAnsi="仿宋_GB2312" w:cs="仿宋_GB2312" w:eastAsia="仿宋_GB2312"/>
                <w:sz w:val="21"/>
                <w:color w:val="000000"/>
              </w:rPr>
              <w:t>《民用建筑工程室内环境污染控制规范》</w:t>
            </w:r>
            <w:r>
              <w:rPr>
                <w:rFonts w:ascii="仿宋_GB2312" w:hAnsi="仿宋_GB2312" w:cs="仿宋_GB2312" w:eastAsia="仿宋_GB2312"/>
                <w:sz w:val="21"/>
                <w:color w:val="000000"/>
              </w:rPr>
              <w:t>(GB550325-2020) 《建筑装饰工程施工及验收标准》GB50210-2018</w:t>
            </w:r>
          </w:p>
          <w:p>
            <w:pPr>
              <w:pStyle w:val="null3"/>
              <w:ind w:firstLine="412"/>
              <w:jc w:val="left"/>
            </w:pPr>
            <w:r>
              <w:rPr>
                <w:rFonts w:ascii="仿宋_GB2312" w:hAnsi="仿宋_GB2312" w:cs="仿宋_GB2312" w:eastAsia="仿宋_GB2312"/>
                <w:sz w:val="21"/>
                <w:color w:val="000000"/>
              </w:rPr>
              <w:t>《建筑地面设计规范》</w:t>
            </w:r>
            <w:r>
              <w:rPr>
                <w:rFonts w:ascii="仿宋_GB2312" w:hAnsi="仿宋_GB2312" w:cs="仿宋_GB2312" w:eastAsia="仿宋_GB2312"/>
                <w:sz w:val="21"/>
                <w:color w:val="000000"/>
              </w:rPr>
              <w:t>(GB 50037-2013)</w:t>
            </w:r>
          </w:p>
          <w:p>
            <w:pPr>
              <w:pStyle w:val="null3"/>
              <w:ind w:firstLine="412"/>
              <w:jc w:val="left"/>
            </w:pPr>
            <w:r>
              <w:rPr>
                <w:rFonts w:ascii="仿宋_GB2312" w:hAnsi="仿宋_GB2312" w:cs="仿宋_GB2312" w:eastAsia="仿宋_GB2312"/>
                <w:sz w:val="21"/>
                <w:color w:val="000000"/>
              </w:rPr>
              <w:t>《建筑地面工程施工质量验收规范》</w:t>
            </w:r>
            <w:r>
              <w:rPr>
                <w:rFonts w:ascii="仿宋_GB2312" w:hAnsi="仿宋_GB2312" w:cs="仿宋_GB2312" w:eastAsia="仿宋_GB2312"/>
                <w:sz w:val="21"/>
                <w:color w:val="000000"/>
              </w:rPr>
              <w:t>(GB50209-2010)</w:t>
            </w:r>
          </w:p>
          <w:p>
            <w:pPr>
              <w:pStyle w:val="null3"/>
              <w:ind w:firstLine="412"/>
              <w:jc w:val="left"/>
            </w:pPr>
            <w:r>
              <w:rPr>
                <w:rFonts w:ascii="仿宋_GB2312" w:hAnsi="仿宋_GB2312" w:cs="仿宋_GB2312" w:eastAsia="仿宋_GB2312"/>
                <w:sz w:val="21"/>
                <w:color w:val="000000"/>
              </w:rPr>
              <w:t>《墙体材料应用统一技术规范》</w:t>
            </w:r>
            <w:r>
              <w:rPr>
                <w:rFonts w:ascii="仿宋_GB2312" w:hAnsi="仿宋_GB2312" w:cs="仿宋_GB2312" w:eastAsia="仿宋_GB2312"/>
                <w:sz w:val="21"/>
                <w:color w:val="000000"/>
              </w:rPr>
              <w:t>(GB50574-2010)(2013年版)</w:t>
            </w:r>
          </w:p>
          <w:p>
            <w:pPr>
              <w:pStyle w:val="null3"/>
              <w:ind w:firstLine="412"/>
              <w:jc w:val="left"/>
            </w:pPr>
            <w:r>
              <w:rPr>
                <w:rFonts w:ascii="仿宋_GB2312" w:hAnsi="仿宋_GB2312" w:cs="仿宋_GB2312" w:eastAsia="仿宋_GB2312"/>
                <w:sz w:val="21"/>
                <w:color w:val="000000"/>
              </w:rPr>
              <w:t>《公共建筑吊顶工程技术规范》</w:t>
            </w:r>
            <w:r>
              <w:rPr>
                <w:rFonts w:ascii="仿宋_GB2312" w:hAnsi="仿宋_GB2312" w:cs="仿宋_GB2312" w:eastAsia="仿宋_GB2312"/>
                <w:sz w:val="21"/>
                <w:color w:val="000000"/>
              </w:rPr>
              <w:t>(JGJ345-2014) 《建筑照明设计标准》GB 50034-2013</w:t>
            </w:r>
          </w:p>
          <w:p>
            <w:pPr>
              <w:pStyle w:val="null3"/>
              <w:ind w:firstLine="412"/>
              <w:jc w:val="left"/>
            </w:pPr>
            <w:r>
              <w:rPr>
                <w:rFonts w:ascii="仿宋_GB2312" w:hAnsi="仿宋_GB2312" w:cs="仿宋_GB2312" w:eastAsia="仿宋_GB2312"/>
                <w:sz w:val="21"/>
                <w:color w:val="000000"/>
              </w:rPr>
              <w:t>《通用用电设备配电设计规范》</w:t>
            </w:r>
            <w:r>
              <w:rPr>
                <w:rFonts w:ascii="仿宋_GB2312" w:hAnsi="仿宋_GB2312" w:cs="仿宋_GB2312" w:eastAsia="仿宋_GB2312"/>
                <w:sz w:val="21"/>
                <w:color w:val="000000"/>
              </w:rPr>
              <w:t>GB 50055-2011</w:t>
            </w:r>
          </w:p>
          <w:p>
            <w:pPr>
              <w:pStyle w:val="null3"/>
              <w:ind w:firstLine="412"/>
              <w:jc w:val="left"/>
            </w:pPr>
            <w:r>
              <w:rPr>
                <w:rFonts w:ascii="仿宋_GB2312" w:hAnsi="仿宋_GB2312" w:cs="仿宋_GB2312" w:eastAsia="仿宋_GB2312"/>
                <w:sz w:val="21"/>
                <w:color w:val="000000"/>
              </w:rPr>
              <w:t>《矿物绝缘电缆敷设技术规程》</w:t>
            </w:r>
            <w:r>
              <w:rPr>
                <w:rFonts w:ascii="仿宋_GB2312" w:hAnsi="仿宋_GB2312" w:cs="仿宋_GB2312" w:eastAsia="仿宋_GB2312"/>
                <w:sz w:val="21"/>
                <w:color w:val="000000"/>
              </w:rPr>
              <w:t>JGJ 232-2011</w:t>
            </w:r>
          </w:p>
          <w:p>
            <w:pPr>
              <w:pStyle w:val="null3"/>
              <w:ind w:firstLine="412"/>
              <w:jc w:val="left"/>
            </w:pPr>
            <w:r>
              <w:rPr>
                <w:rFonts w:ascii="仿宋_GB2312" w:hAnsi="仿宋_GB2312" w:cs="仿宋_GB2312" w:eastAsia="仿宋_GB2312"/>
                <w:sz w:val="21"/>
                <w:color w:val="000000"/>
              </w:rPr>
              <w:t>《建筑机电工程抗震设计规范》</w:t>
            </w:r>
            <w:r>
              <w:rPr>
                <w:rFonts w:ascii="仿宋_GB2312" w:hAnsi="仿宋_GB2312" w:cs="仿宋_GB2312" w:eastAsia="仿宋_GB2312"/>
                <w:sz w:val="21"/>
                <w:color w:val="000000"/>
              </w:rPr>
              <w:t>GB 50981-2014</w:t>
            </w:r>
          </w:p>
          <w:p>
            <w:pPr>
              <w:pStyle w:val="null3"/>
              <w:ind w:firstLine="412"/>
              <w:jc w:val="left"/>
            </w:pPr>
            <w:r>
              <w:rPr>
                <w:rFonts w:ascii="仿宋_GB2312" w:hAnsi="仿宋_GB2312" w:cs="仿宋_GB2312" w:eastAsia="仿宋_GB2312"/>
                <w:sz w:val="21"/>
                <w:color w:val="000000"/>
              </w:rPr>
              <w:t>《低压配电设计规范》</w:t>
            </w:r>
            <w:r>
              <w:rPr>
                <w:rFonts w:ascii="仿宋_GB2312" w:hAnsi="仿宋_GB2312" w:cs="仿宋_GB2312" w:eastAsia="仿宋_GB2312"/>
                <w:sz w:val="21"/>
                <w:color w:val="000000"/>
              </w:rPr>
              <w:t>GB 50054-2011</w:t>
            </w:r>
          </w:p>
          <w:p>
            <w:pPr>
              <w:pStyle w:val="null3"/>
              <w:ind w:firstLine="412"/>
              <w:jc w:val="left"/>
            </w:pPr>
            <w:r>
              <w:rPr>
                <w:rFonts w:ascii="仿宋_GB2312" w:hAnsi="仿宋_GB2312" w:cs="仿宋_GB2312" w:eastAsia="仿宋_GB2312"/>
                <w:sz w:val="21"/>
                <w:color w:val="000000"/>
              </w:rPr>
              <w:t>《建筑物防雷设计规范》</w:t>
            </w:r>
            <w:r>
              <w:rPr>
                <w:rFonts w:ascii="仿宋_GB2312" w:hAnsi="仿宋_GB2312" w:cs="仿宋_GB2312" w:eastAsia="仿宋_GB2312"/>
                <w:sz w:val="21"/>
                <w:color w:val="000000"/>
              </w:rPr>
              <w:t>GB 50057-2010</w:t>
            </w:r>
          </w:p>
          <w:p>
            <w:pPr>
              <w:pStyle w:val="null3"/>
              <w:ind w:firstLine="412"/>
              <w:jc w:val="left"/>
            </w:pPr>
            <w:r>
              <w:rPr>
                <w:rFonts w:ascii="仿宋_GB2312" w:hAnsi="仿宋_GB2312" w:cs="仿宋_GB2312" w:eastAsia="仿宋_GB2312"/>
                <w:sz w:val="21"/>
                <w:color w:val="000000"/>
              </w:rPr>
              <w:t>《民用建筑电气设计标准》</w:t>
            </w:r>
            <w:r>
              <w:rPr>
                <w:rFonts w:ascii="仿宋_GB2312" w:hAnsi="仿宋_GB2312" w:cs="仿宋_GB2312" w:eastAsia="仿宋_GB2312"/>
                <w:sz w:val="21"/>
                <w:color w:val="000000"/>
              </w:rPr>
              <w:t>GB51348-2019</w:t>
            </w:r>
          </w:p>
          <w:p>
            <w:pPr>
              <w:pStyle w:val="null3"/>
              <w:ind w:firstLine="412"/>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陕西</w:t>
            </w:r>
            <w:r>
              <w:rPr>
                <w:rFonts w:ascii="仿宋_GB2312" w:hAnsi="仿宋_GB2312" w:cs="仿宋_GB2312" w:eastAsia="仿宋_GB2312"/>
                <w:sz w:val="21"/>
                <w:color w:val="000000"/>
              </w:rPr>
              <w:t>省绿色建筑设计标准》</w:t>
            </w:r>
            <w:r>
              <w:rPr>
                <w:rFonts w:ascii="仿宋_GB2312" w:hAnsi="仿宋_GB2312" w:cs="仿宋_GB2312" w:eastAsia="仿宋_GB2312"/>
                <w:sz w:val="21"/>
                <w:color w:val="000000"/>
              </w:rPr>
              <w:t>DBJ51/T037-2015</w:t>
            </w:r>
          </w:p>
          <w:p>
            <w:pPr>
              <w:pStyle w:val="null3"/>
              <w:ind w:firstLine="412"/>
              <w:jc w:val="left"/>
            </w:pPr>
            <w:r>
              <w:rPr>
                <w:rFonts w:ascii="仿宋_GB2312" w:hAnsi="仿宋_GB2312" w:cs="仿宋_GB2312" w:eastAsia="仿宋_GB2312"/>
                <w:sz w:val="21"/>
                <w:color w:val="000000"/>
              </w:rPr>
              <w:t>《民用建筑绿色设计规范》</w:t>
            </w:r>
            <w:r>
              <w:rPr>
                <w:rFonts w:ascii="仿宋_GB2312" w:hAnsi="仿宋_GB2312" w:cs="仿宋_GB2312" w:eastAsia="仿宋_GB2312"/>
                <w:sz w:val="21"/>
                <w:color w:val="000000"/>
              </w:rPr>
              <w:t>JGJ /T229-2010</w:t>
            </w:r>
          </w:p>
          <w:p>
            <w:pPr>
              <w:pStyle w:val="null3"/>
              <w:ind w:firstLine="412"/>
              <w:jc w:val="left"/>
            </w:pPr>
            <w:r>
              <w:rPr>
                <w:rFonts w:ascii="仿宋_GB2312" w:hAnsi="仿宋_GB2312" w:cs="仿宋_GB2312" w:eastAsia="仿宋_GB2312"/>
                <w:sz w:val="21"/>
                <w:color w:val="000000"/>
              </w:rPr>
              <w:t>《建筑防烟排烟系统技术标准》</w:t>
            </w:r>
            <w:r>
              <w:rPr>
                <w:rFonts w:ascii="仿宋_GB2312" w:hAnsi="仿宋_GB2312" w:cs="仿宋_GB2312" w:eastAsia="仿宋_GB2312"/>
                <w:sz w:val="21"/>
                <w:color w:val="000000"/>
              </w:rPr>
              <w:t>GB 51251-2017</w:t>
            </w:r>
          </w:p>
          <w:p>
            <w:pPr>
              <w:pStyle w:val="null3"/>
              <w:ind w:firstLine="412"/>
              <w:jc w:val="left"/>
            </w:pPr>
            <w:r>
              <w:rPr>
                <w:rFonts w:ascii="仿宋_GB2312" w:hAnsi="仿宋_GB2312" w:cs="仿宋_GB2312" w:eastAsia="仿宋_GB2312"/>
                <w:sz w:val="21"/>
                <w:color w:val="000000"/>
              </w:rPr>
              <w:t>《消防应急照明和疏散指示系统技术标准》</w:t>
            </w:r>
            <w:r>
              <w:rPr>
                <w:rFonts w:ascii="仿宋_GB2312" w:hAnsi="仿宋_GB2312" w:cs="仿宋_GB2312" w:eastAsia="仿宋_GB2312"/>
                <w:sz w:val="21"/>
                <w:color w:val="000000"/>
              </w:rPr>
              <w:t>GB 51309-2018</w:t>
            </w:r>
          </w:p>
          <w:p>
            <w:pPr>
              <w:pStyle w:val="null3"/>
              <w:ind w:firstLine="412"/>
              <w:jc w:val="left"/>
            </w:pPr>
            <w:r>
              <w:rPr>
                <w:rFonts w:ascii="仿宋_GB2312" w:hAnsi="仿宋_GB2312" w:cs="仿宋_GB2312" w:eastAsia="仿宋_GB2312"/>
                <w:sz w:val="21"/>
                <w:color w:val="000000"/>
              </w:rPr>
              <w:t>《电气火灾系统》</w:t>
            </w:r>
            <w:r>
              <w:rPr>
                <w:rFonts w:ascii="仿宋_GB2312" w:hAnsi="仿宋_GB2312" w:cs="仿宋_GB2312" w:eastAsia="仿宋_GB2312"/>
                <w:sz w:val="21"/>
                <w:color w:val="000000"/>
              </w:rPr>
              <w:t>GB14287-2014</w:t>
            </w:r>
          </w:p>
          <w:p>
            <w:pPr>
              <w:pStyle w:val="null3"/>
              <w:ind w:firstLine="412"/>
              <w:jc w:val="left"/>
            </w:pPr>
            <w:r>
              <w:rPr>
                <w:rFonts w:ascii="仿宋_GB2312" w:hAnsi="仿宋_GB2312" w:cs="仿宋_GB2312" w:eastAsia="仿宋_GB2312"/>
                <w:sz w:val="21"/>
                <w:color w:val="000000"/>
              </w:rPr>
              <w:t>《汽车库、修车库、停车场设计防火规范》</w:t>
            </w:r>
            <w:r>
              <w:rPr>
                <w:rFonts w:ascii="仿宋_GB2312" w:hAnsi="仿宋_GB2312" w:cs="仿宋_GB2312" w:eastAsia="仿宋_GB2312"/>
                <w:sz w:val="21"/>
                <w:color w:val="000000"/>
              </w:rPr>
              <w:t>GB 50067-2014</w:t>
            </w:r>
          </w:p>
          <w:p>
            <w:pPr>
              <w:pStyle w:val="null3"/>
              <w:ind w:firstLine="412"/>
              <w:jc w:val="left"/>
            </w:pPr>
            <w:r>
              <w:rPr>
                <w:rFonts w:ascii="仿宋_GB2312" w:hAnsi="仿宋_GB2312" w:cs="仿宋_GB2312" w:eastAsia="仿宋_GB2312"/>
                <w:sz w:val="21"/>
                <w:color w:val="000000"/>
              </w:rPr>
              <w:t>《消防应急照明和疏散指示系统》</w:t>
            </w:r>
            <w:r>
              <w:rPr>
                <w:rFonts w:ascii="仿宋_GB2312" w:hAnsi="仿宋_GB2312" w:cs="仿宋_GB2312" w:eastAsia="仿宋_GB2312"/>
                <w:sz w:val="21"/>
                <w:color w:val="000000"/>
              </w:rPr>
              <w:t>GB17945-2010</w:t>
            </w:r>
          </w:p>
          <w:p>
            <w:pPr>
              <w:pStyle w:val="null3"/>
              <w:ind w:firstLine="412"/>
              <w:jc w:val="left"/>
            </w:pPr>
            <w:r>
              <w:rPr>
                <w:rFonts w:ascii="仿宋_GB2312" w:hAnsi="仿宋_GB2312" w:cs="仿宋_GB2312" w:eastAsia="仿宋_GB2312"/>
                <w:sz w:val="21"/>
                <w:color w:val="000000"/>
              </w:rPr>
              <w:t>《建筑与市政工程抗震通用规范》</w:t>
            </w:r>
            <w:r>
              <w:rPr>
                <w:rFonts w:ascii="仿宋_GB2312" w:hAnsi="仿宋_GB2312" w:cs="仿宋_GB2312" w:eastAsia="仿宋_GB2312"/>
                <w:sz w:val="21"/>
                <w:color w:val="000000"/>
              </w:rPr>
              <w:t>GB55002-2021</w:t>
            </w:r>
          </w:p>
          <w:p>
            <w:pPr>
              <w:pStyle w:val="null3"/>
              <w:ind w:firstLine="412"/>
              <w:jc w:val="left"/>
            </w:pPr>
            <w:r>
              <w:rPr>
                <w:rFonts w:ascii="仿宋_GB2312" w:hAnsi="仿宋_GB2312" w:cs="仿宋_GB2312" w:eastAsia="仿宋_GB2312"/>
                <w:sz w:val="21"/>
                <w:color w:val="000000"/>
              </w:rPr>
              <w:t>《阻燃和耐火电线电缆或光缆通则》</w:t>
            </w:r>
            <w:r>
              <w:rPr>
                <w:rFonts w:ascii="仿宋_GB2312" w:hAnsi="仿宋_GB2312" w:cs="仿宋_GB2312" w:eastAsia="仿宋_GB2312"/>
                <w:sz w:val="21"/>
                <w:color w:val="000000"/>
              </w:rPr>
              <w:t>GB/T19666-2019</w:t>
            </w:r>
          </w:p>
          <w:p>
            <w:pPr>
              <w:pStyle w:val="null3"/>
              <w:ind w:firstLine="412"/>
              <w:jc w:val="left"/>
            </w:pPr>
            <w:r>
              <w:rPr>
                <w:rFonts w:ascii="仿宋_GB2312" w:hAnsi="仿宋_GB2312" w:cs="仿宋_GB2312" w:eastAsia="仿宋_GB2312"/>
                <w:sz w:val="21"/>
                <w:color w:val="000000"/>
              </w:rPr>
              <w:t>《建筑电气与智能化通用规范》</w:t>
            </w:r>
            <w:r>
              <w:rPr>
                <w:rFonts w:ascii="仿宋_GB2312" w:hAnsi="仿宋_GB2312" w:cs="仿宋_GB2312" w:eastAsia="仿宋_GB2312"/>
                <w:sz w:val="21"/>
                <w:color w:val="000000"/>
              </w:rPr>
              <w:t>GB55024-2022</w:t>
            </w:r>
          </w:p>
          <w:p>
            <w:pPr>
              <w:pStyle w:val="null3"/>
              <w:ind w:firstLine="412"/>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陕西</w:t>
            </w:r>
            <w:r>
              <w:rPr>
                <w:rFonts w:ascii="仿宋_GB2312" w:hAnsi="仿宋_GB2312" w:cs="仿宋_GB2312" w:eastAsia="仿宋_GB2312"/>
                <w:sz w:val="21"/>
                <w:color w:val="000000"/>
              </w:rPr>
              <w:t>省房屋建筑工程消防设计技术审查要点</w:t>
            </w:r>
            <w:r>
              <w:rPr>
                <w:rFonts w:ascii="仿宋_GB2312" w:hAnsi="仿宋_GB2312" w:cs="仿宋_GB2312" w:eastAsia="仿宋_GB2312"/>
                <w:sz w:val="21"/>
                <w:color w:val="000000"/>
              </w:rPr>
              <w:t>(试行)》</w:t>
            </w:r>
          </w:p>
          <w:p>
            <w:pPr>
              <w:pStyle w:val="null3"/>
              <w:ind w:firstLine="412"/>
              <w:jc w:val="left"/>
            </w:pPr>
            <w:r>
              <w:rPr>
                <w:rFonts w:ascii="仿宋_GB2312" w:hAnsi="仿宋_GB2312" w:cs="仿宋_GB2312" w:eastAsia="仿宋_GB2312"/>
                <w:sz w:val="21"/>
                <w:color w:val="000000"/>
              </w:rPr>
              <w:t>《建筑环境通用规范》</w:t>
            </w:r>
            <w:r>
              <w:rPr>
                <w:rFonts w:ascii="仿宋_GB2312" w:hAnsi="仿宋_GB2312" w:cs="仿宋_GB2312" w:eastAsia="仿宋_GB2312"/>
                <w:sz w:val="21"/>
                <w:color w:val="000000"/>
              </w:rPr>
              <w:t>GB55016-2021</w:t>
            </w:r>
          </w:p>
          <w:p>
            <w:pPr>
              <w:pStyle w:val="null3"/>
              <w:ind w:firstLine="412"/>
              <w:jc w:val="left"/>
            </w:pPr>
            <w:r>
              <w:rPr>
                <w:rFonts w:ascii="仿宋_GB2312" w:hAnsi="仿宋_GB2312" w:cs="仿宋_GB2312" w:eastAsia="仿宋_GB2312"/>
                <w:sz w:val="21"/>
                <w:color w:val="000000"/>
              </w:rPr>
              <w:t>《建筑防火封堵应用技术标准》</w:t>
            </w:r>
            <w:r>
              <w:rPr>
                <w:rFonts w:ascii="仿宋_GB2312" w:hAnsi="仿宋_GB2312" w:cs="仿宋_GB2312" w:eastAsia="仿宋_GB2312"/>
                <w:sz w:val="21"/>
                <w:color w:val="000000"/>
              </w:rPr>
              <w:t>GB/T 51410-2020</w:t>
            </w:r>
          </w:p>
          <w:p>
            <w:pPr>
              <w:pStyle w:val="null3"/>
              <w:ind w:firstLine="412"/>
              <w:jc w:val="left"/>
            </w:pPr>
            <w:r>
              <w:rPr>
                <w:rFonts w:ascii="仿宋_GB2312" w:hAnsi="仿宋_GB2312" w:cs="仿宋_GB2312" w:eastAsia="仿宋_GB2312"/>
                <w:sz w:val="21"/>
                <w:color w:val="000000"/>
              </w:rPr>
              <w:t>《建筑与市政工程施工质量控制通用规范》</w:t>
            </w:r>
            <w:r>
              <w:rPr>
                <w:rFonts w:ascii="仿宋_GB2312" w:hAnsi="仿宋_GB2312" w:cs="仿宋_GB2312" w:eastAsia="仿宋_GB2312"/>
                <w:sz w:val="21"/>
                <w:color w:val="000000"/>
              </w:rPr>
              <w:t>GB 55032-2022</w:t>
            </w:r>
          </w:p>
          <w:p>
            <w:pPr>
              <w:pStyle w:val="null3"/>
              <w:ind w:firstLine="412"/>
              <w:jc w:val="left"/>
            </w:pPr>
            <w:r>
              <w:rPr>
                <w:rFonts w:ascii="仿宋_GB2312" w:hAnsi="仿宋_GB2312" w:cs="仿宋_GB2312" w:eastAsia="仿宋_GB2312"/>
                <w:sz w:val="21"/>
                <w:color w:val="000000"/>
              </w:rPr>
              <w:t>《矿物绝缘电缆敷设技术规程》</w:t>
            </w:r>
            <w:r>
              <w:rPr>
                <w:rFonts w:ascii="仿宋_GB2312" w:hAnsi="仿宋_GB2312" w:cs="仿宋_GB2312" w:eastAsia="仿宋_GB2312"/>
                <w:sz w:val="21"/>
                <w:color w:val="000000"/>
              </w:rPr>
              <w:t>JGJ 232-2011</w:t>
            </w:r>
          </w:p>
          <w:p>
            <w:pPr>
              <w:pStyle w:val="null3"/>
              <w:ind w:firstLine="412"/>
              <w:jc w:val="left"/>
            </w:pPr>
            <w:r>
              <w:rPr>
                <w:rFonts w:ascii="仿宋_GB2312" w:hAnsi="仿宋_GB2312" w:cs="仿宋_GB2312" w:eastAsia="仿宋_GB2312"/>
                <w:sz w:val="21"/>
                <w:color w:val="000000"/>
              </w:rPr>
              <w:t>《消防给水及消火栓系统技术规范》</w:t>
            </w:r>
            <w:r>
              <w:rPr>
                <w:rFonts w:ascii="仿宋_GB2312" w:hAnsi="仿宋_GB2312" w:cs="仿宋_GB2312" w:eastAsia="仿宋_GB2312"/>
                <w:sz w:val="21"/>
                <w:color w:val="000000"/>
              </w:rPr>
              <w:t>GB 50974-2014</w:t>
            </w:r>
          </w:p>
          <w:p>
            <w:pPr>
              <w:pStyle w:val="null3"/>
              <w:ind w:firstLine="412"/>
              <w:jc w:val="left"/>
            </w:pPr>
            <w:r>
              <w:rPr>
                <w:rFonts w:ascii="仿宋_GB2312" w:hAnsi="仿宋_GB2312" w:cs="仿宋_GB2312" w:eastAsia="仿宋_GB2312"/>
                <w:sz w:val="21"/>
                <w:color w:val="000000"/>
              </w:rPr>
              <w:t>《自动喷水灭火系统没计规范》</w:t>
            </w:r>
            <w:r>
              <w:rPr>
                <w:rFonts w:ascii="仿宋_GB2312" w:hAnsi="仿宋_GB2312" w:cs="仿宋_GB2312" w:eastAsia="仿宋_GB2312"/>
                <w:sz w:val="21"/>
                <w:color w:val="000000"/>
              </w:rPr>
              <w:t>GB 50084-2017</w:t>
            </w:r>
          </w:p>
          <w:p>
            <w:pPr>
              <w:pStyle w:val="null3"/>
              <w:jc w:val="left"/>
            </w:pPr>
            <w:r>
              <w:rPr>
                <w:rFonts w:ascii="仿宋_GB2312" w:hAnsi="仿宋_GB2312" w:cs="仿宋_GB2312" w:eastAsia="仿宋_GB2312"/>
                <w:sz w:val="21"/>
                <w:b/>
                <w:color w:val="000000"/>
              </w:rPr>
              <w:t>(三)房间装饰设计：</w:t>
            </w:r>
          </w:p>
          <w:p>
            <w:pPr>
              <w:pStyle w:val="null3"/>
              <w:ind w:firstLine="420"/>
              <w:jc w:val="left"/>
            </w:pPr>
            <w:r>
              <w:rPr>
                <w:rFonts w:ascii="仿宋_GB2312" w:hAnsi="仿宋_GB2312" w:cs="仿宋_GB2312" w:eastAsia="仿宋_GB2312"/>
                <w:sz w:val="21"/>
                <w:color w:val="000000"/>
              </w:rPr>
              <w:t>1.平面布局图设计</w:t>
            </w:r>
          </w:p>
          <w:p>
            <w:pPr>
              <w:pStyle w:val="null3"/>
              <w:ind w:firstLine="420"/>
              <w:jc w:val="left"/>
            </w:pPr>
            <w:r>
              <w:rPr>
                <w:rFonts w:ascii="仿宋_GB2312" w:hAnsi="仿宋_GB2312" w:cs="仿宋_GB2312" w:eastAsia="仿宋_GB2312"/>
                <w:sz w:val="21"/>
                <w:color w:val="000000"/>
              </w:rPr>
              <w:t xml:space="preserve">2.效果图图设计  </w:t>
            </w:r>
          </w:p>
          <w:p>
            <w:pPr>
              <w:pStyle w:val="null3"/>
              <w:ind w:firstLine="420"/>
              <w:jc w:val="left"/>
            </w:pPr>
            <w:r>
              <w:rPr>
                <w:rFonts w:ascii="仿宋_GB2312" w:hAnsi="仿宋_GB2312" w:cs="仿宋_GB2312" w:eastAsia="仿宋_GB2312"/>
                <w:sz w:val="21"/>
                <w:color w:val="000000"/>
              </w:rPr>
              <w:t>3.施工图设计</w:t>
            </w:r>
          </w:p>
          <w:p>
            <w:pPr>
              <w:pStyle w:val="null3"/>
              <w:ind w:firstLine="46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中央空调设计</w:t>
            </w:r>
            <w:r>
              <w:rPr>
                <w:rFonts w:ascii="仿宋_GB2312" w:hAnsi="仿宋_GB2312" w:cs="仿宋_GB2312" w:eastAsia="仿宋_GB2312"/>
                <w:sz w:val="21"/>
              </w:rPr>
              <w:t xml:space="preserve">  </w:t>
            </w:r>
          </w:p>
          <w:p>
            <w:pPr>
              <w:pStyle w:val="null3"/>
              <w:ind w:firstLine="460"/>
              <w:jc w:val="left"/>
            </w:pPr>
            <w:r>
              <w:rPr>
                <w:rFonts w:ascii="仿宋_GB2312" w:hAnsi="仿宋_GB2312" w:cs="仿宋_GB2312" w:eastAsia="仿宋_GB2312"/>
                <w:sz w:val="21"/>
                <w:color w:val="000000"/>
              </w:rPr>
              <w:t>5.照明插座的设计</w:t>
            </w:r>
          </w:p>
          <w:p>
            <w:pPr>
              <w:pStyle w:val="null3"/>
              <w:ind w:firstLine="460"/>
              <w:jc w:val="left"/>
            </w:pPr>
            <w:r>
              <w:rPr>
                <w:rFonts w:ascii="仿宋_GB2312" w:hAnsi="仿宋_GB2312" w:cs="仿宋_GB2312" w:eastAsia="仿宋_GB2312"/>
                <w:sz w:val="21"/>
                <w:color w:val="000000"/>
              </w:rPr>
              <w:t>6.弱电</w:t>
            </w:r>
            <w:r>
              <w:rPr>
                <w:rFonts w:ascii="仿宋_GB2312" w:hAnsi="仿宋_GB2312" w:cs="仿宋_GB2312" w:eastAsia="仿宋_GB2312"/>
                <w:sz w:val="21"/>
                <w:color w:val="000000"/>
              </w:rPr>
              <w:t>网络</w:t>
            </w:r>
            <w:r>
              <w:rPr>
                <w:rFonts w:ascii="仿宋_GB2312" w:hAnsi="仿宋_GB2312" w:cs="仿宋_GB2312" w:eastAsia="仿宋_GB2312"/>
                <w:sz w:val="21"/>
                <w:color w:val="000000"/>
              </w:rPr>
              <w:t>、</w:t>
            </w:r>
            <w:r>
              <w:rPr>
                <w:rFonts w:ascii="仿宋_GB2312" w:hAnsi="仿宋_GB2312" w:cs="仿宋_GB2312" w:eastAsia="仿宋_GB2312"/>
                <w:sz w:val="21"/>
                <w:color w:val="000000"/>
              </w:rPr>
              <w:t>监控</w:t>
            </w:r>
            <w:r>
              <w:rPr>
                <w:rFonts w:ascii="仿宋_GB2312" w:hAnsi="仿宋_GB2312" w:cs="仿宋_GB2312" w:eastAsia="仿宋_GB2312"/>
                <w:sz w:val="21"/>
                <w:color w:val="000000"/>
              </w:rPr>
              <w:t>、</w:t>
            </w:r>
            <w:r>
              <w:rPr>
                <w:rFonts w:ascii="仿宋_GB2312" w:hAnsi="仿宋_GB2312" w:cs="仿宋_GB2312" w:eastAsia="仿宋_GB2312"/>
                <w:sz w:val="21"/>
                <w:color w:val="000000"/>
              </w:rPr>
              <w:t>门禁</w:t>
            </w:r>
            <w:r>
              <w:rPr>
                <w:rFonts w:ascii="仿宋_GB2312" w:hAnsi="仿宋_GB2312" w:cs="仿宋_GB2312" w:eastAsia="仿宋_GB2312"/>
                <w:sz w:val="21"/>
                <w:color w:val="000000"/>
              </w:rPr>
              <w:t>、电话设计</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其他要求</w:t>
            </w:r>
          </w:p>
          <w:p>
            <w:pPr>
              <w:pStyle w:val="null3"/>
              <w:ind w:firstLine="420"/>
              <w:jc w:val="both"/>
            </w:pPr>
            <w:r>
              <w:rPr>
                <w:rFonts w:ascii="仿宋_GB2312" w:hAnsi="仿宋_GB2312" w:cs="仿宋_GB2312" w:eastAsia="仿宋_GB2312"/>
                <w:sz w:val="21"/>
              </w:rPr>
              <w:t>1、成果归属：采购人享有著作权，项目成果归采购人所有，供应商不将擅自对外发表、出版；确实因学术交流、</w:t>
            </w:r>
            <w:r>
              <w:rPr>
                <w:rFonts w:ascii="仿宋_GB2312" w:hAnsi="仿宋_GB2312" w:cs="仿宋_GB2312" w:eastAsia="仿宋_GB2312"/>
                <w:sz w:val="21"/>
              </w:rPr>
              <w:t>职称</w:t>
            </w:r>
            <w:r>
              <w:rPr>
                <w:rFonts w:ascii="仿宋_GB2312" w:hAnsi="仿宋_GB2312" w:cs="仿宋_GB2312" w:eastAsia="仿宋_GB2312"/>
                <w:sz w:val="21"/>
              </w:rPr>
              <w:t>评定等需要而要做发表的必须征得采购人书面授权许可：若因此带来的相关法律经济纠纷与采购人无关，供应商应自行承担全部法律和经济等相关责任。</w:t>
            </w:r>
          </w:p>
          <w:p>
            <w:pPr>
              <w:pStyle w:val="null3"/>
              <w:ind w:firstLine="420"/>
              <w:jc w:val="both"/>
            </w:pPr>
            <w:r>
              <w:rPr>
                <w:rFonts w:ascii="仿宋_GB2312" w:hAnsi="仿宋_GB2312" w:cs="仿宋_GB2312" w:eastAsia="仿宋_GB2312"/>
                <w:sz w:val="21"/>
              </w:rPr>
              <w:t>2、成果资料：供应商在要求的时限内提交本项目成果文件，并出具相对应顶目的报告及采购人要求的成果文件和工作资料、经审查合格的设计成果纸质资料</w:t>
            </w:r>
            <w:r>
              <w:rPr>
                <w:rFonts w:ascii="仿宋_GB2312" w:hAnsi="仿宋_GB2312" w:cs="仿宋_GB2312" w:eastAsia="仿宋_GB2312"/>
                <w:sz w:val="21"/>
              </w:rPr>
              <w:t>4套</w:t>
            </w:r>
            <w:r>
              <w:rPr>
                <w:rFonts w:ascii="仿宋_GB2312" w:hAnsi="仿宋_GB2312" w:cs="仿宋_GB2312" w:eastAsia="仿宋_GB2312"/>
                <w:sz w:val="21"/>
              </w:rPr>
              <w:t>，所有成果电子版资料</w:t>
            </w:r>
            <w:r>
              <w:rPr>
                <w:rFonts w:ascii="仿宋_GB2312" w:hAnsi="仿宋_GB2312" w:cs="仿宋_GB2312" w:eastAsia="仿宋_GB2312"/>
                <w:sz w:val="21"/>
              </w:rPr>
              <w:t>1套(包括CAD、PDF格式及</w:t>
            </w:r>
            <w:r>
              <w:rPr>
                <w:rFonts w:ascii="仿宋_GB2312" w:hAnsi="仿宋_GB2312" w:cs="仿宋_GB2312" w:eastAsia="仿宋_GB2312"/>
                <w:sz w:val="21"/>
              </w:rPr>
              <w:t>采</w:t>
            </w:r>
            <w:r>
              <w:rPr>
                <w:rFonts w:ascii="仿宋_GB2312" w:hAnsi="仿宋_GB2312" w:cs="仿宋_GB2312" w:eastAsia="仿宋_GB2312"/>
                <w:sz w:val="21"/>
              </w:rPr>
              <w:t>购人要</w:t>
            </w:r>
            <w:r>
              <w:rPr>
                <w:rFonts w:ascii="仿宋_GB2312" w:hAnsi="仿宋_GB2312" w:cs="仿宋_GB2312" w:eastAsia="仿宋_GB2312"/>
                <w:sz w:val="21"/>
              </w:rPr>
              <w:t>求</w:t>
            </w:r>
            <w:r>
              <w:rPr>
                <w:rFonts w:ascii="仿宋_GB2312" w:hAnsi="仿宋_GB2312" w:cs="仿宋_GB2312" w:eastAsia="仿宋_GB2312"/>
                <w:sz w:val="21"/>
              </w:rPr>
              <w:t>的其他格式</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3、本项目的编制过程和成果必须符合国家有关工程建设标准强制性条文、中华人民共和国国家标准</w:t>
            </w:r>
            <w:r>
              <w:rPr>
                <w:rFonts w:ascii="仿宋_GB2312" w:hAnsi="仿宋_GB2312" w:cs="仿宋_GB2312" w:eastAsia="仿宋_GB2312"/>
                <w:sz w:val="21"/>
              </w:rPr>
              <w:t>。</w:t>
            </w:r>
            <w:r>
              <w:rPr>
                <w:rFonts w:ascii="仿宋_GB2312" w:hAnsi="仿宋_GB2312" w:cs="仿宋_GB2312" w:eastAsia="仿宋_GB2312"/>
                <w:sz w:val="21"/>
              </w:rPr>
              <w:t>住建部门及</w:t>
            </w:r>
            <w:r>
              <w:rPr>
                <w:rFonts w:ascii="仿宋_GB2312" w:hAnsi="仿宋_GB2312" w:cs="仿宋_GB2312" w:eastAsia="仿宋_GB2312"/>
                <w:sz w:val="21"/>
              </w:rPr>
              <w:t>其他</w:t>
            </w:r>
            <w:r>
              <w:rPr>
                <w:rFonts w:ascii="仿宋_GB2312" w:hAnsi="仿宋_GB2312" w:cs="仿宋_GB2312" w:eastAsia="仿宋_GB2312"/>
                <w:sz w:val="21"/>
              </w:rPr>
              <w:t>部委颁布的有关建筑工程助察设计等方面现行的标准、规范、规程、定额、办法、示例，以及住建部、住建厅</w:t>
            </w:r>
            <w:r>
              <w:rPr>
                <w:rFonts w:ascii="仿宋_GB2312" w:hAnsi="仿宋_GB2312" w:cs="仿宋_GB2312" w:eastAsia="仿宋_GB2312"/>
                <w:sz w:val="21"/>
              </w:rPr>
              <w:t>补</w:t>
            </w:r>
            <w:r>
              <w:rPr>
                <w:rFonts w:ascii="仿宋_GB2312" w:hAnsi="仿宋_GB2312" w:cs="仿宋_GB2312" w:eastAsia="仿宋_GB2312"/>
                <w:sz w:val="21"/>
              </w:rPr>
              <w:t>发的有关建设工科勘察设计方面的文件</w:t>
            </w:r>
            <w:r>
              <w:rPr>
                <w:rFonts w:ascii="仿宋_GB2312" w:hAnsi="仿宋_GB2312" w:cs="仿宋_GB2312" w:eastAsia="仿宋_GB2312"/>
                <w:sz w:val="21"/>
              </w:rPr>
              <w:t>的</w:t>
            </w:r>
            <w:r>
              <w:rPr>
                <w:rFonts w:ascii="仿宋_GB2312" w:hAnsi="仿宋_GB2312" w:cs="仿宋_GB2312" w:eastAsia="仿宋_GB2312"/>
                <w:sz w:val="21"/>
              </w:rPr>
              <w:t>规定、在编制过程中，如果国家或</w:t>
            </w:r>
            <w:r>
              <w:rPr>
                <w:rFonts w:ascii="仿宋_GB2312" w:hAnsi="仿宋_GB2312" w:cs="仿宋_GB2312" w:eastAsia="仿宋_GB2312"/>
                <w:sz w:val="21"/>
              </w:rPr>
              <w:t>相</w:t>
            </w:r>
            <w:r>
              <w:rPr>
                <w:rFonts w:ascii="仿宋_GB2312" w:hAnsi="仿宋_GB2312" w:cs="仿宋_GB2312" w:eastAsia="仿宋_GB2312"/>
                <w:sz w:val="21"/>
              </w:rPr>
              <w:t>关部委颁发了新的技术标准或规苑，供应商应采用最新标准或规范进行编制。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完成全部工作</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图审结束，符合全部要求</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当地法院或仲裁机构</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法定代表人直接参加磋商的，须出具法定代表人（单位负责人）身份证明。法定代表人授权代表参加磋商的，须出具法定代表人（单位负责人）授权委托书及被授权人身份证复印件；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供应商需具备工程设计综合资质甲级资质或建筑行业工程设计乙级及以上或建筑行业（建筑工程）乙级及以上资质，或建筑装饰工程设计专项资质乙级；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设计负责人</w:t>
            </w:r>
          </w:p>
        </w:tc>
        <w:tc>
          <w:tcPr>
            <w:tcW w:type="dxa" w:w="3322"/>
          </w:tcPr>
          <w:p>
            <w:pPr>
              <w:pStyle w:val="null3"/>
            </w:pPr>
            <w:r>
              <w:rPr>
                <w:rFonts w:ascii="仿宋_GB2312" w:hAnsi="仿宋_GB2312" w:cs="仿宋_GB2312" w:eastAsia="仿宋_GB2312"/>
              </w:rPr>
              <w:t>供应商拟派设计负责人具备注册建筑师二级及以上执业资格且在本单位注册。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详细评审77.00分</w:t>
            </w:r>
          </w:p>
          <w:p>
            <w:pPr>
              <w:pStyle w:val="null3"/>
            </w:pPr>
            <w:r>
              <w:rPr>
                <w:rFonts w:ascii="仿宋_GB2312" w:hAnsi="仿宋_GB2312" w:cs="仿宋_GB2312" w:eastAsia="仿宋_GB2312"/>
              </w:rPr>
              <w:t>报价得分23.00分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供应商提供2023年1月1日至今已完成的类似业绩（装饰装修工程设计），每提供一份得2.5分，最多得5分。 注：以中标（成交）通知书或合同复印件为准。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一、评审内容：供应商针对本项目提供项目配备人员，内容包含但不限于： ①项目成员配置清单及架构，项目配备人员的专业素质、人员结构； ②项目成员的主要职责及工作内容。 二、评审标准： 1、完整性：方案必须全面，对评审内容中的各项要求有详细描述； 2、可实施性：切合本项目实际情况，提出步骤清晰、合理的方案； 3、针对性：方案能够紧扣项目实际情况，内容科学合理。 三、赋分标准（满分6分） ①项目成员配置清单及架构，项目配备人员的专业素质、人员结构：每完全满足一个评审标准得1分，满分3分； ②项目成员的主要职责及工作内容：每完全满足一个评审标准得1分，满分3分；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项目团队人员组成表.docx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一、评审内容：供应商针对本项目编制完整的整体服务方案，内容包含但不限于：①针对本项目的设计阐述；②总体设计思路；③针对本项目的降低成本方案优化的阐述；④设计采用新技术、新工艺、新材料。 二、评审标准： 1、完整性：方案必须全面，对评审内容中的各项要求有详细描述； 2、可实施性：切合本项目实际情况，提出步骤清晰、合理的方案； 3、针对性：方案能够紧扣项目实际情况，内容科学合理。 三、赋分标准（满分24分） ①针对本项目的设计阐述：每完全满足一个评审标准得2分，满分6分； ②总体设计思路：每完全满足一个评审标准得2分，满分6分； ③针对本项目的降低成本方案优化的阐述：每完全满足一个评审标准得2分，满分6分； ④设计采用新技术、新工艺、新材料：每完全满足一个评审标准得2分，满分6分； ⑤未提供者不得分。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进度保证措施方案</w:t>
            </w:r>
          </w:p>
        </w:tc>
        <w:tc>
          <w:tcPr>
            <w:tcW w:type="dxa" w:w="2492"/>
          </w:tcPr>
          <w:p>
            <w:pPr>
              <w:pStyle w:val="null3"/>
            </w:pPr>
            <w:r>
              <w:rPr>
                <w:rFonts w:ascii="仿宋_GB2312" w:hAnsi="仿宋_GB2312" w:cs="仿宋_GB2312" w:eastAsia="仿宋_GB2312"/>
              </w:rPr>
              <w:t>一、评审内容：供应商针对本项目编制完整的进度保证措施方案，内容包含但不限于：①总体计划安排；②各子项任务的衔接； ③人员保障、安排及职责分工；④工作进度计划措施。 二、评审标准： 1、完整性：方案必须全面，对评审内容中的各项要求有详细描述； 2、可实施性：切合本项目实际情况，提出步骤清晰、合理的方案； 3、针对性：方案能够紧扣项目实际情况，内容科学合理。 三、赋分标准（满分12分） ①总体计划安排：每完全满足一个评审标准得1分，满分3分； ②各子项任务的衔接：每完全满足一个评审标准得1分，满分3分； ③人员保障、安排及职责分工：每完全满足一个评审标准得1分，满分3分； ④工作进度计划措施：每完全满足一个评审标准得1分，满分3分； ⑤未提供者不得分。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服务质量方案</w:t>
            </w:r>
          </w:p>
        </w:tc>
        <w:tc>
          <w:tcPr>
            <w:tcW w:type="dxa" w:w="2492"/>
          </w:tcPr>
          <w:p>
            <w:pPr>
              <w:pStyle w:val="null3"/>
            </w:pPr>
            <w:r>
              <w:rPr>
                <w:rFonts w:ascii="仿宋_GB2312" w:hAnsi="仿宋_GB2312" w:cs="仿宋_GB2312" w:eastAsia="仿宋_GB2312"/>
              </w:rPr>
              <w:t>一、评审内容：供应商针对本项目编制完善的服务质量方案 ，内容包含但不限于：①质量目标；②质量管理体系；③设计过程中质量控制及相应的保证措施。 二、评审标准： 1、完整性：方案必须全面，对评审内容中的各项要求有详细描述； 2、可实施性：切合本项目实际情况，提出步骤清晰、合理的方案； 3、针对性：方案能够紧扣项目实际情况，内容科学合理。 三、赋分标准（满分18分）： ①质量目标：每完全满足一个评审标准得2分，满分6分； ②质量管理体系：每完全满足一个评审标准得2分，满分6分； ③设计过程中质量控制及相应的保证措施：每完全满足一个评审标准得2分，满分6分； ④未提供者不得分。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供应商针对本项目编制完善的后续服务方案，内容包含但不限于：①后续服务保障措施；②与采购人及其它建设主体单位等各方配合措施；③后续服务人员安排及保障措施；④对采购人造成损失的补偿措施。 二、评审标准： 1、完整性：方案必须全面，对评审内容中的各项要求有详细描述； 2、可实施性：切合本项目实际情况，提出步骤清晰、合理的方案； 3、针对性：方案能够紧扣项目实际情况，内容科学合理。 三、赋分标准（满分12分）： ①后续服务保障措施：每完全满足一个评审标准得1分，满分3分； ②与采购人及其它建设主体单位等各方配合措施：每完全满足一个评审标准得1分，满分3分； ③后续服务人员安排及保障措施：每完全满足一个评审标准得1分，满分3分； ④对采购人造成损失的补偿措施：完全满足一个评审标准得1分，满分3分； ⑤未提供者不得分。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1、上限为采购预算价和最高限价，即报价大于上限价视为无效标； 2、以满足本次磋商文件要求的最低报价为评审基准价，其价格为满分； 3、其他供应商报价得分=[评审基准价/最后磋商报价]×23%×100；</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详见附件：项目团队人员组成表.docx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详见附件：拟签订采购合同文本（服务）.docx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