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版本号：SXJC-ZC-202600420260406001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汉中市洋县马畅镇2026年中央财政以工代赈项目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SXJC-ZC-2026004</w:t>
      </w:r>
      <w:r>
        <w:br/>
      </w:r>
      <w:r>
        <w:br/>
      </w:r>
      <w:r>
        <w:br/>
      </w:r>
    </w:p>
    <w:p>
      <w:pPr>
        <w:pStyle w:val="null3"/>
        <w:jc w:val="center"/>
        <w:outlineLvl w:val="2"/>
      </w:pPr>
      <w:r>
        <w:rPr>
          <w:rFonts w:ascii="仿宋_GB2312" w:hAnsi="仿宋_GB2312" w:cs="仿宋_GB2312" w:eastAsia="仿宋_GB2312"/>
          <w:sz w:val="28"/>
          <w:b/>
        </w:rPr>
        <w:t>洋县马畅镇人民政府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洋县马畅镇人民政府</w:t>
      </w:r>
      <w:r>
        <w:rPr>
          <w:rFonts w:ascii="仿宋_GB2312" w:hAnsi="仿宋_GB2312" w:cs="仿宋_GB2312" w:eastAsia="仿宋_GB2312"/>
        </w:rPr>
        <w:t>委托，拟对</w:t>
      </w:r>
      <w:r>
        <w:rPr>
          <w:rFonts w:ascii="仿宋_GB2312" w:hAnsi="仿宋_GB2312" w:cs="仿宋_GB2312" w:eastAsia="仿宋_GB2312"/>
        </w:rPr>
        <w:t>汉中市洋县马畅镇2026年中央财政以工代赈项目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汉中市洋县马畅镇2026年中央财政以工代赈项目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项目主要建设内容：高路村、安巷村、东湾村硬化道路共12条，长3.802公里，宽2.5米-3.5米，路基采用砂砾石垫层厚15厘米，路面为混凝土面层厚18厘米，各村具体建设内容如下: （一）高路村 道路1：硬化长度215.643米，路基宽3.5米，路面宽3米，钢筋混凝土圆管涵4座17米。 道路2：硬化长度420.558米，路基宽3.5米，路面宽2.5米，钢筋混凝土圆管涵3座12米。 道路3：硬化长度267.895米，路基宽4米，路面宽3米，钢筋混凝土圆管涵6座24米。 道路4：硬化长度92.9米，路基宽4.5米，路面宽3.5米。 道路5：硬化长度57.014米，路基宽4米，路面宽3米，钢筋混凝土圆管涵1座4米。 （二）安巷村 道路6：硬化长度400.593米，路基宽4.5米，路面宽3.5米，钢筋混凝土圆管涵1座5米。 道路7：硬化长度198.355米，路基宽4米，路面宽3米，钢筋混凝土圆管涵2座9米。 道路8：硬化长度352.316米，路基宽4.5米，路面宽3.5米，钢筋混凝土圆管涵6座29米。 道路9：硬化长度326.556米，路基宽4.5米，路面宽3.5米，钢筋混凝土圆管涵3座15米。 （三）东湾村 道路10：硬化长度273.226米，路基宽4.5米，路面宽3.5米，钢筋混凝土圆管涵3座15米。 道路11：硬化长度727.831米，路基宽4.5米，路面宽3.5米，钢筋混凝土圆管涵3座12米。 道路12：硬化长度468.820米，路基宽3.5米，路面宽2.5米，钢筋混凝土圆管涵10座50米。 （具体详见工程量清单）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采购包1（汉中市洋县马畅镇2026年中央财政以工代赈项目）：属于专门面向中小企业采购。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3、企业资质要求：供应商应具备建设行政部门核发的公路工程施工总承包三级（含三级）及以上资质，安全生产许可证合格有效。</w:t>
      </w:r>
    </w:p>
    <w:p>
      <w:pPr>
        <w:pStyle w:val="null3"/>
      </w:pPr>
      <w:r>
        <w:rPr>
          <w:rFonts w:ascii="仿宋_GB2312" w:hAnsi="仿宋_GB2312" w:cs="仿宋_GB2312" w:eastAsia="仿宋_GB2312"/>
        </w:rPr>
        <w:t>4、项目经理资格要求：项目负责人应具备公路工程专业二级（含二级）及以上注册建造师资格、具有有效的安全考核合格证（B证），且无在建工程。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洋县马畅镇人民政府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汉中市洋县马畅镇安中村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0916-8552309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洋县马畅镇人民政府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洋县马畅镇人民政府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洋县马畅镇人民政府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工程质量达到合格等级。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1,841,430.80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汉中市洋县马畅镇2026年中央财政以工代赈项目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标的名称：汉中市洋县马畅镇2026年中央财政以工代赈项目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420"/>
              <w:jc w:val="both"/>
            </w:pPr>
            <w:r>
              <w:rPr>
                <w:rFonts w:ascii="仿宋_GB2312" w:hAnsi="仿宋_GB2312" w:cs="仿宋_GB2312" w:eastAsia="仿宋_GB2312"/>
                <w:sz w:val="21"/>
              </w:rPr>
              <w:t>项目主要建设内容：高路村、安巷村、东湾村硬化道路共</w:t>
            </w:r>
            <w:r>
              <w:rPr>
                <w:rFonts w:ascii="仿宋_GB2312" w:hAnsi="仿宋_GB2312" w:cs="仿宋_GB2312" w:eastAsia="仿宋_GB2312"/>
                <w:sz w:val="21"/>
              </w:rPr>
              <w:t>12条，长3.802公里，宽2.5米-3.5米，路基采用砂砾石垫层厚15厘米，路面为混凝土面层厚18厘米，各村具体建设内容如下:</w:t>
            </w:r>
          </w:p>
          <w:p>
            <w:pPr>
              <w:pStyle w:val="null3"/>
              <w:ind w:firstLine="420"/>
              <w:jc w:val="both"/>
            </w:pPr>
            <w:r>
              <w:rPr>
                <w:rFonts w:ascii="仿宋_GB2312" w:hAnsi="仿宋_GB2312" w:cs="仿宋_GB2312" w:eastAsia="仿宋_GB2312"/>
                <w:sz w:val="21"/>
              </w:rPr>
              <w:t>（一）高路村</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1：硬化长度215.643米，路基宽3.5米，路面宽3米，钢筋混凝土圆管涵4座17米。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2：硬化长度420.558米，路基宽3.5米，路面宽2.5米，钢筋混凝土圆管涵3座12米。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3：硬化长度267.895米，路基宽4米，路面宽3米，钢筋混凝土圆管涵6座24米。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4：硬化长度92.9米，路基宽4.5米，路面宽3.5米。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5：硬化长度57.014米，路基宽4米，路面宽3米，钢筋混凝土圆管涵1座4米。</w:t>
            </w:r>
          </w:p>
          <w:p>
            <w:pPr>
              <w:pStyle w:val="null3"/>
              <w:ind w:firstLine="420"/>
              <w:jc w:val="both"/>
            </w:pPr>
            <w:r>
              <w:rPr>
                <w:rFonts w:ascii="仿宋_GB2312" w:hAnsi="仿宋_GB2312" w:cs="仿宋_GB2312" w:eastAsia="仿宋_GB2312"/>
                <w:sz w:val="21"/>
              </w:rPr>
              <w:t>（二）安巷村</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6：硬化长度400.593米，路基宽4.5米，路面宽3.5米，钢筋混凝土圆管涵1座5米。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7：硬化长度198.355米，路基宽4米，路面宽3米，钢筋混凝土圆管涵2座9米。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8：硬化长度352.316米，路基宽4.5米，路面宽3.5米，钢筋混凝土圆管涵6座29米。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9：硬化长度326.556米，路基宽4.5米，路面宽3.5米，钢筋混凝土圆管涵3座15米。</w:t>
            </w:r>
          </w:p>
          <w:p>
            <w:pPr>
              <w:pStyle w:val="null3"/>
              <w:ind w:firstLine="420"/>
              <w:jc w:val="both"/>
            </w:pPr>
            <w:r>
              <w:rPr>
                <w:rFonts w:ascii="仿宋_GB2312" w:hAnsi="仿宋_GB2312" w:cs="仿宋_GB2312" w:eastAsia="仿宋_GB2312"/>
                <w:sz w:val="21"/>
              </w:rPr>
              <w:t>（三）东湾村</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10：硬化长度273.226米，路基宽4.5米，路面宽3.5米，钢筋混凝土圆管涵3座15米。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11：硬化长度727.831米，路基宽4.5米，路面宽3.5米，钢筋混凝土圆管涵3座12米。</w:t>
            </w:r>
          </w:p>
          <w:p>
            <w:pPr>
              <w:pStyle w:val="null3"/>
              <w:ind w:firstLine="420"/>
              <w:jc w:val="both"/>
            </w:pPr>
            <w:r>
              <w:rPr>
                <w:rFonts w:ascii="仿宋_GB2312" w:hAnsi="仿宋_GB2312" w:cs="仿宋_GB2312" w:eastAsia="仿宋_GB2312"/>
                <w:sz w:val="21"/>
              </w:rPr>
              <w:t>道路</w:t>
            </w:r>
            <w:r>
              <w:rPr>
                <w:rFonts w:ascii="仿宋_GB2312" w:hAnsi="仿宋_GB2312" w:cs="仿宋_GB2312" w:eastAsia="仿宋_GB2312"/>
                <w:sz w:val="21"/>
              </w:rPr>
              <w:t>12：硬化长度468.820米，路基宽3.5米，路面宽2.5米，钢筋混凝土圆管涵10座50米</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以上建设内容具体详见工程量清单</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全面落实以工代赈工作要求，具体包括：</w:t>
            </w:r>
          </w:p>
          <w:p>
            <w:pPr>
              <w:pStyle w:val="null3"/>
              <w:ind w:firstLine="420"/>
              <w:jc w:val="both"/>
            </w:pPr>
            <w:r>
              <w:rPr>
                <w:rFonts w:ascii="仿宋_GB2312" w:hAnsi="仿宋_GB2312" w:cs="仿宋_GB2312" w:eastAsia="仿宋_GB2312"/>
                <w:sz w:val="21"/>
              </w:rPr>
              <w:t>1、按照“赈”的作用发挥要求开展就业技能培训不少于60人；</w:t>
            </w:r>
          </w:p>
          <w:p>
            <w:pPr>
              <w:pStyle w:val="null3"/>
              <w:ind w:firstLine="420"/>
              <w:jc w:val="both"/>
            </w:pPr>
            <w:r>
              <w:rPr>
                <w:rFonts w:ascii="仿宋_GB2312" w:hAnsi="仿宋_GB2312" w:cs="仿宋_GB2312" w:eastAsia="仿宋_GB2312"/>
                <w:sz w:val="21"/>
              </w:rPr>
              <w:t>2、积极吸纳当地群众不少于60人参与务工，其中吸纳易地搬迁群众不少于 3人；</w:t>
            </w:r>
          </w:p>
          <w:p>
            <w:pPr>
              <w:pStyle w:val="null3"/>
              <w:ind w:firstLine="420"/>
              <w:jc w:val="both"/>
            </w:pPr>
            <w:r>
              <w:rPr>
                <w:rFonts w:ascii="仿宋_GB2312" w:hAnsi="仿宋_GB2312" w:cs="仿宋_GB2312" w:eastAsia="仿宋_GB2312"/>
                <w:sz w:val="21"/>
              </w:rPr>
              <w:t>3、发放劳务报酬不少于77万元，占中央财政以工代赈资金比例不低于41.62%；</w:t>
            </w:r>
          </w:p>
          <w:p>
            <w:pPr>
              <w:pStyle w:val="null3"/>
              <w:ind w:firstLine="420"/>
              <w:jc w:val="both"/>
            </w:pPr>
            <w:r>
              <w:rPr>
                <w:rFonts w:ascii="仿宋_GB2312" w:hAnsi="仿宋_GB2312" w:cs="仿宋_GB2312" w:eastAsia="仿宋_GB2312"/>
                <w:sz w:val="21"/>
              </w:rPr>
              <w:t>4、设置公益岗位2个并规范管理；</w:t>
            </w:r>
          </w:p>
          <w:p>
            <w:pPr>
              <w:pStyle w:val="null3"/>
              <w:jc w:val="both"/>
            </w:pPr>
            <w:r>
              <w:rPr>
                <w:rFonts w:ascii="仿宋_GB2312" w:hAnsi="仿宋_GB2312" w:cs="仿宋_GB2312" w:eastAsia="仿宋_GB2312"/>
                <w:sz w:val="21"/>
                <w:b/>
              </w:rPr>
              <w:t>三、工期：</w:t>
            </w:r>
            <w:r>
              <w:rPr>
                <w:rFonts w:ascii="仿宋_GB2312" w:hAnsi="仿宋_GB2312" w:cs="仿宋_GB2312" w:eastAsia="仿宋_GB2312"/>
                <w:sz w:val="21"/>
                <w:b/>
              </w:rPr>
              <w:t>90日历天</w:t>
            </w:r>
          </w:p>
          <w:p>
            <w:pPr>
              <w:pStyle w:val="null3"/>
              <w:jc w:val="both"/>
            </w:pPr>
            <w:r>
              <w:rPr>
                <w:rFonts w:ascii="仿宋_GB2312" w:hAnsi="仿宋_GB2312" w:cs="仿宋_GB2312" w:eastAsia="仿宋_GB2312"/>
                <w:sz w:val="21"/>
                <w:b/>
              </w:rPr>
              <w:t>四、工程质量：达到合格标准</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供应商应具备建设行政部门核发的公路工程施工总承包三级（含三级）及以上资质，安全生产许可证合格有效。</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项目负责人应具备公路工程专业二级（含二级）及以上注册建造师资格、具有有效的安全考核合格证（B证），且无在建工程。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1.投标报价唯一；2.报价货币符合磋商文件要求；3.未超出采购预算或采购文件规定的最高限价。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强制优先采购产品承诺函 响应文件封面 项目管理机构组成表 企业资质要求.docx 残疾人福利性单位声明函 报价函 标的清单 供应商类似项目业绩一览表 响应函 主要人员简历表 法定代表人身份证明或法定代表人授权委托书.docx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1、方案完整，覆盖施工全流程，工艺选择、进度规划、重难点分析，贴合项目实际，可操作性极强（11-15分）； 2、方案较完整，工艺选择合理，能应对核心重难点，可操作性较强（7-11分）； 3、方案基本完整，工艺选择一般，重难点分析不足，可操作性一般（3-7分）； 4、方案残缺，工艺不合理，无重难点分析，缺乏可操作性（0-3分）。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质量保证体系与措施</w:t>
            </w:r>
          </w:p>
        </w:tc>
        <w:tc>
          <w:tcPr>
            <w:tcW w:type="dxa" w:w="2492"/>
          </w:tcPr>
          <w:p>
            <w:pPr>
              <w:pStyle w:val="null3"/>
            </w:pPr>
            <w:r>
              <w:rPr>
                <w:rFonts w:ascii="仿宋_GB2312" w:hAnsi="仿宋_GB2312" w:cs="仿宋_GB2312" w:eastAsia="仿宋_GB2312"/>
              </w:rPr>
              <w:t>1、确保工程质量的技术组织措施全面、细致、具体，内容完整、逻辑严密、切实可行，可直接作为执行依据；同时结合以工代赈项目特点，针对性制定本地务工人员施工质量管控、技能培训、群众监督等专项措施，充分满足以工代赈政策及工程实施要求。（11-15分） 2、措施逻辑严谨、切实可行且内容全面，充分覆盖核心需求与实施细节；基本落实以工代赈相关质量管控要求，具备较强可操作性。（7-11分） 3、措施基本满足合理性与可行性要求，但在内容完整性、针对性或可操作性上存在欠缺；未结合以工代赈项目特点制定专项质量管控措施。（3-7分） 4、措施存在明显缺陷，内容不完整、缺乏针对性，无法满足工程质量及以工代赈项目实施基本要求。（0-3分）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1、工期体系健全（含组织、计划、管控体系），措施科学可行，有工期延误预警及纠偏方案，能确保按期或提前完工（6-10分）； 2、有完善工期计划，保证措施合理，有基本预警机制，可保障工期（3-6分）； 3、工期计划简单，保证措施不足，无明确预警及纠偏方案（1-3分）。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安全文明施工与环境保护措施</w:t>
            </w:r>
          </w:p>
        </w:tc>
        <w:tc>
          <w:tcPr>
            <w:tcW w:type="dxa" w:w="2492"/>
          </w:tcPr>
          <w:p>
            <w:pPr>
              <w:pStyle w:val="null3"/>
            </w:pPr>
            <w:r>
              <w:rPr>
                <w:rFonts w:ascii="仿宋_GB2312" w:hAnsi="仿宋_GB2312" w:cs="仿宋_GB2312" w:eastAsia="仿宋_GB2312"/>
              </w:rPr>
              <w:t>1、安全施工、文明施工、环境保护措施完善全面，逻辑严谨、切实可行，内容具体且贴合项目及以工代赈现场管理要求，覆盖安全防护、安全培训、安全巡查、现场布置、物料堆放、扬尘噪声控制、垃圾清理等全部核心内容（6-10分）; 2、安全、文明、环保措施基本到位，内容较完整，具备可操作性，能满足施工管理基本要求（3-6分）； 3、 安全、文明或环保措施存在明显欠缺，内容不够完整、可行性一般，仅部分满足管理要求（1-3分）。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以工代赈政策落实方案</w:t>
            </w:r>
          </w:p>
        </w:tc>
        <w:tc>
          <w:tcPr>
            <w:tcW w:type="dxa" w:w="2492"/>
          </w:tcPr>
          <w:p>
            <w:pPr>
              <w:pStyle w:val="null3"/>
            </w:pPr>
            <w:r>
              <w:rPr>
                <w:rFonts w:ascii="仿宋_GB2312" w:hAnsi="仿宋_GB2312" w:cs="仿宋_GB2312" w:eastAsia="仿宋_GB2312"/>
              </w:rPr>
              <w:t>1、务工组织方案完善，优先吸纳当地脱贫户、重点群体等要求明确，务工台账、用工协议管理规范；劳务报酬发放标准、发放流程清晰，中央财政资金劳务报酬比例达标，公示公告措施到位（7-10分）； 2、务工组织及劳务报酬措施基本完整，重点群体吸纳、报酬发放等要求基本明确，管理较为规范，满足以工代赈实施基本要求（4-7分）； 3、务工组织或劳务报酬措施存在明显欠缺，重点群体吸纳不明确、发放流程不规范、未落实比例要求，仅基本满足管理需要；（1-4分） 4、未制定相关方案或措施，内容严重缺失（0-1分）。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1、项目部拟派人员组织机构科学合理、人员配置充足，有详细的人员配置清单，核心人员（项目经理、技术负责人、专职安全员、质检员等）资质齐全、针对性强，完全满足项目需求（4-6分）; 2、项目部组成基本合理、人员配置基本齐全，有人员配置清单，核心人员资质齐全，基本满足项目需求（2-4分）; 3、人员配置短缺，核心人员资质不全或无对应资质，仅部分满足项目需求（1-2分）； 4、未提供人员配置清单或核心人员无资质，无法满足项目需求（0分）。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供应商提供2023年1月1日起至今已完成的类似业绩证明材料，每提供1项得2分，最多得4分。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详见附件：项目经理资格要求.docx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