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版本号：SXJC-ZC-202600820260512002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2026年洋县金水镇关岭村米面加工项目-土建部分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SXJC-ZC-2026008</w:t>
      </w:r>
      <w:r>
        <w:br/>
      </w:r>
      <w:r>
        <w:br/>
      </w:r>
      <w:r>
        <w:br/>
      </w:r>
    </w:p>
    <w:p>
      <w:pPr>
        <w:pStyle w:val="null3"/>
        <w:jc w:val="center"/>
        <w:outlineLvl w:val="2"/>
      </w:pPr>
      <w:r>
        <w:rPr>
          <w:rFonts w:ascii="仿宋_GB2312" w:hAnsi="仿宋_GB2312" w:cs="仿宋_GB2312" w:eastAsia="仿宋_GB2312"/>
          <w:sz w:val="28"/>
          <w:b/>
        </w:rPr>
        <w:t>洋县金水镇人民政府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洋县金水镇人民政府</w:t>
      </w:r>
      <w:r>
        <w:rPr>
          <w:rFonts w:ascii="仿宋_GB2312" w:hAnsi="仿宋_GB2312" w:cs="仿宋_GB2312" w:eastAsia="仿宋_GB2312"/>
        </w:rPr>
        <w:t>委托，拟对</w:t>
      </w:r>
      <w:r>
        <w:rPr>
          <w:rFonts w:ascii="仿宋_GB2312" w:hAnsi="仿宋_GB2312" w:cs="仿宋_GB2312" w:eastAsia="仿宋_GB2312"/>
        </w:rPr>
        <w:t>2026年洋县金水镇关岭村米面加工项目-土建部分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2026年洋县金水镇关岭村米面加工项目-土建部分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该工程内容主要为新建200㎡加工厂房一座；拆除原场地270㎡砖混结构房屋；场地硬化160㎡及配套相应设施设备安装等工程（具体内容详见工程量清单）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采购包1（2026年洋县金水镇关岭村米面加工项目-土建部分）：属于专门面向中小企业采购。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3、企业资质要求：供应商应具备建设行政部门核发的建筑工程施工总承包三级（含三级）及以上资质，安全生产许可证合格有效;</w:t>
      </w:r>
    </w:p>
    <w:p>
      <w:pPr>
        <w:pStyle w:val="null3"/>
      </w:pPr>
      <w:r>
        <w:rPr>
          <w:rFonts w:ascii="仿宋_GB2312" w:hAnsi="仿宋_GB2312" w:cs="仿宋_GB2312" w:eastAsia="仿宋_GB2312"/>
        </w:rPr>
        <w:t>4、项目经理资格要求：项目负责人应具备建筑工程专业二级（含二级）及以上注册建造师资格、具有有效的安全考核合格证（B证），且无在建工程；</w:t>
      </w:r>
    </w:p>
    <w:p>
      <w:pPr>
        <w:pStyle w:val="null3"/>
      </w:pPr>
      <w:r>
        <w:rPr>
          <w:rFonts w:ascii="仿宋_GB2312" w:hAnsi="仿宋_GB2312" w:cs="仿宋_GB2312" w:eastAsia="仿宋_GB2312"/>
        </w:rPr>
        <w:t>5、资格承诺函：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洋县金水镇人民政府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洋县金水镇金水街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金水镇人民政府经办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18009163018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开户名称：陕西君诚项目管理有限公司</w:t>
            </w:r>
          </w:p>
          <w:p>
            <w:pPr>
              <w:pStyle w:val="null3"/>
            </w:pPr>
            <w:r>
              <w:rPr>
                <w:rFonts w:ascii="仿宋_GB2312" w:hAnsi="仿宋_GB2312" w:cs="仿宋_GB2312" w:eastAsia="仿宋_GB2312"/>
              </w:rPr>
              <w:t>开户银行：长安银行股份有限公司洋县支行</w:t>
            </w:r>
          </w:p>
          <w:p>
            <w:pPr>
              <w:pStyle w:val="null3"/>
            </w:pPr>
            <w:r>
              <w:rPr>
                <w:rFonts w:ascii="仿宋_GB2312" w:hAnsi="仿宋_GB2312" w:cs="仿宋_GB2312" w:eastAsia="仿宋_GB2312"/>
              </w:rPr>
              <w:t>银行账号：806061501421002583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代理服务费收费标准：参照国家计委《招标代理服务收费管理暂行办法》(计价格[2002]1980 号)、国家发展和改革委员会《国家发展改革委办公厅关于招标代理服务收费有关问题的通知》( 发改办价格[2003]857号)和《国家发展改革委关于降低部分建设项目收费标准规范收费行为等 有关问题的通知》(发改价格[2011]534号)文件的相关规定执行。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洋县金水镇人民政府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洋县金水镇人民政府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洋县金水镇人民政府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本项目履约验收标准：技术上符合施工图纸、国家现行工程规范及采购文件要求，工程质量合格、设备运行正常；商务上履约资料齐全、无违约行为、合规履约，两项均达标即为验收合格。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联系人：李瑶</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329,841.86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2026年洋县金水镇关岭村米面加工项目-土建部分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标的名称：2026年洋县金水镇关岭村米面加工项目-土建部分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一、该工程内容主要为：新建200㎡加工厂房一座；拆除原场地270㎡砖混结构房屋；场地硬化160㎡及配套相应设施设备安装等工程（具体内容详见工程量清单）</w:t>
            </w:r>
          </w:p>
          <w:p>
            <w:pPr>
              <w:pStyle w:val="null3"/>
            </w:pPr>
            <w:r>
              <w:rPr>
                <w:rFonts w:ascii="仿宋_GB2312" w:hAnsi="仿宋_GB2312" w:cs="仿宋_GB2312" w:eastAsia="仿宋_GB2312"/>
                <w:sz w:val="24"/>
              </w:rPr>
              <w:t>二、工期：60日历天</w:t>
            </w:r>
          </w:p>
          <w:p>
            <w:pPr>
              <w:pStyle w:val="null3"/>
            </w:pPr>
            <w:r>
              <w:rPr>
                <w:rFonts w:ascii="仿宋_GB2312" w:hAnsi="仿宋_GB2312" w:cs="仿宋_GB2312" w:eastAsia="仿宋_GB2312"/>
                <w:sz w:val="24"/>
              </w:rPr>
              <w:t>三、质量标准：合格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供应商应具备建设行政部门核发的建筑工程施工总承包三级（含三级）及以上资质，安全生产许可证合格有效;</w:t>
            </w:r>
          </w:p>
        </w:tc>
        <w:tc>
          <w:tcPr>
            <w:tcW w:type="dxa" w:w="1661"/>
          </w:tcPr>
          <w:p>
            <w:pPr>
              <w:pStyle w:val="null3"/>
            </w:pPr>
            <w:r>
              <w:rPr>
                <w:rFonts w:ascii="仿宋_GB2312" w:hAnsi="仿宋_GB2312" w:cs="仿宋_GB2312" w:eastAsia="仿宋_GB2312"/>
              </w:rPr>
              <w:t>企业资质要求.pdf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项目负责人应具备建筑工程专业二级（含二级）及以上注册建造师资格、具有有效的安全考核合格证（B证），且无在建工程；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1.磋商报价唯一；2.报价货币符合采购文件要求；3.未超出采购预算或采购文件规定的最高限价。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符合磋商文件签署盖章要求，且无遗漏符合磋商文件签署盖章要求，且无遗漏</w:t>
            </w:r>
          </w:p>
        </w:tc>
        <w:tc>
          <w:tcPr>
            <w:tcW w:type="dxa" w:w="1661"/>
          </w:tcPr>
          <w:p>
            <w:pPr>
              <w:pStyle w:val="null3"/>
            </w:pPr>
            <w:r>
              <w:rPr>
                <w:rFonts w:ascii="仿宋_GB2312" w:hAnsi="仿宋_GB2312" w:cs="仿宋_GB2312" w:eastAsia="仿宋_GB2312"/>
              </w:rPr>
              <w:t>已标价工程量清单 技术方案.pdf 中小企业声明函 响应文件签署人身份证明.pdf 项目经理资格要求.pdf 企业资质要求.pdf 响应文件封面 汉中市政府采购供应商资格承诺函.pdf 项目管理机构组成表 有效的主体资格证明.pdf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施工组织设计完整性与针对性</w:t>
            </w:r>
          </w:p>
        </w:tc>
        <w:tc>
          <w:tcPr>
            <w:tcW w:type="dxa" w:w="2492"/>
          </w:tcPr>
          <w:p>
            <w:pPr>
              <w:pStyle w:val="null3"/>
            </w:pPr>
            <w:r>
              <w:rPr>
                <w:rFonts w:ascii="仿宋_GB2312" w:hAnsi="仿宋_GB2312" w:cs="仿宋_GB2312" w:eastAsia="仿宋_GB2312"/>
              </w:rPr>
              <w:t>1. 施工组织设计完整覆盖本项目全部内容，针对性强，施工部署、进度计划、重难点分析、保障措施科学合理，完全匹配项目实际情况，16-20 分； 2. 施工组织设计基本完整覆盖项目内容，施工部署、进度计划合理，重难点分析及保障措施基本可行，整体符合项目需求，11-16 分； 3. 施工组织设计存在少量缺项，施工部署或进度计划存在轻微不合理之处，保障措施针对性不足，基本满足项目实施要求，6-11 分； 4. 施工组织设计存在明显缺陷，未覆盖部分核心工程内容，或施工方案、进度计划不合理，影响项目实施，2-6 分； 5. 施工组织设计严重缺项，未覆盖关键工程内容，或方案存在重大缺陷，无法保障项目正常实施，0-2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施工方案技术可行性</w:t>
            </w:r>
          </w:p>
        </w:tc>
        <w:tc>
          <w:tcPr>
            <w:tcW w:type="dxa" w:w="2492"/>
          </w:tcPr>
          <w:p>
            <w:pPr>
              <w:pStyle w:val="null3"/>
            </w:pPr>
            <w:r>
              <w:rPr>
                <w:rFonts w:ascii="仿宋_GB2312" w:hAnsi="仿宋_GB2312" w:cs="仿宋_GB2312" w:eastAsia="仿宋_GB2312"/>
              </w:rPr>
              <w:t>1. 新建厂房施工、旧建筑拆除、场地硬化、设备安装等各分项工程方案详细可行，技术措施科学，安全文明施工、扬尘治理、降噪措施完善，符合相关规范要求，12-15 分； 2. 各分项工程方案基本可行，主要技术措施满足规范要求，安全文明施工措施基本到位，无重大技术缺陷，8-12 分； 3. 分项工程方案存在部分不足，个别技术措施针对性不强，安全文明施工措施不够完善，但不影响项目整体实施，4-8 分； 4. 分项工程方案存在明显缺陷，关键技术措施不够明确，安全文明施工措施缺失较多，0-4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项目质量管理与控制措施</w:t>
            </w:r>
          </w:p>
        </w:tc>
        <w:tc>
          <w:tcPr>
            <w:tcW w:type="dxa" w:w="2492"/>
          </w:tcPr>
          <w:p>
            <w:pPr>
              <w:pStyle w:val="null3"/>
            </w:pPr>
            <w:r>
              <w:rPr>
                <w:rFonts w:ascii="仿宋_GB2312" w:hAnsi="仿宋_GB2312" w:cs="仿宋_GB2312" w:eastAsia="仿宋_GB2312"/>
              </w:rPr>
              <w:t>1. 质量管理体系健全，质量目标明确，原材料进场检验、施工过程质量控制、隐蔽工程验收、成品保护等措施完善，可操作性强，能有效保障工程质量，8-10 分； 2. 质量管理体系基本健全，质量控制措施基本到位，关键环节质量保障措施可行，无明显漏洞，5-8 分； 3. 质量管理体系不完善，质量控制措施存在部分缺失，关键环节保障措施不够明确，2-5 分； 4. 无明确质量管理措施，或措施严重不符合项目需求，无法保障工程质量，0-2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工期保障与进度计划</w:t>
            </w:r>
          </w:p>
        </w:tc>
        <w:tc>
          <w:tcPr>
            <w:tcW w:type="dxa" w:w="2492"/>
          </w:tcPr>
          <w:p>
            <w:pPr>
              <w:pStyle w:val="null3"/>
            </w:pPr>
            <w:r>
              <w:rPr>
                <w:rFonts w:ascii="仿宋_GB2312" w:hAnsi="仿宋_GB2312" w:cs="仿宋_GB2312" w:eastAsia="仿宋_GB2312"/>
              </w:rPr>
              <w:t>1. 工期目标明确，进度计划科学合理，关键节点清晰，工期保障措施（人员、机械、材料配置）完善，能满足项目工期要求，且有合理的工期优化方案，4-5 分； 2. 工期目标及进度计划基本合理，关键节点基本明确，工期保障措施基本到位，可满足项目工期要求，2-4 分； 3. 进度计划存在不合理之处，工期保障措施针对性不足，可能影响项目工期，1-2 分； 4. 无明确工期计划，或工期目标无法满足采购文件实质性要求，0-1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企业类似工程业绩</w:t>
            </w:r>
          </w:p>
        </w:tc>
        <w:tc>
          <w:tcPr>
            <w:tcW w:type="dxa" w:w="2492"/>
          </w:tcPr>
          <w:p>
            <w:pPr>
              <w:pStyle w:val="null3"/>
            </w:pPr>
            <w:r>
              <w:rPr>
                <w:rFonts w:ascii="仿宋_GB2312" w:hAnsi="仿宋_GB2312" w:cs="仿宋_GB2312" w:eastAsia="仿宋_GB2312"/>
              </w:rPr>
              <w:t>供应商提供2023年1月1日起至今已完成的类似业绩证明材料，每提供1项得2.5分，最多得5分。 评审依据：业绩以合同或（中标）成交通知书加盖公章的复印件为依据（时间以合同签订或（中标）成交通知书发出时间为准），未提供不得分。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1、项目部拟派人员组织机构科学合理、人员配置充足，有详细的人员配置清单，核心人员（项目经理、技术负责人、专职安全员、质检员、施工员、材料员）资质齐全、针对性强，完全满足项目需求（4-6 分）；2、项目部组成基本合理、人员配置基本齐全，有人员配置清单，核心人员资质齐全，基本满足项目需求（2-4 分）；3、人员配置短缺，核心人员资质不全或无对应资质，仅部分满足项目需求（1-2 分）；4、未提供人员配置清单或核心人员无资质，无法满足项目需求（0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售后服务与履约保障</w:t>
            </w:r>
          </w:p>
        </w:tc>
        <w:tc>
          <w:tcPr>
            <w:tcW w:type="dxa" w:w="2492"/>
          </w:tcPr>
          <w:p>
            <w:pPr>
              <w:pStyle w:val="null3"/>
            </w:pPr>
            <w:r>
              <w:rPr>
                <w:rFonts w:ascii="仿宋_GB2312" w:hAnsi="仿宋_GB2312" w:cs="仿宋_GB2312" w:eastAsia="仿宋_GB2312"/>
              </w:rPr>
              <w:t>1. 售后服务方案完善，工程质量保修期承诺高于国家及行业标准，维修响应时间、故障处理流程明确，履约保证金缴纳方案、违约责任承诺清晰，能有效保障采购人权益，4-5 分； 2. 售后服务方案基本完善，质量保修期承诺符合国家及行业标准，维修响应时间、故障处理流程基本明确，履约保障措施到位，2-4 分； 3. 售后服务方案不够完善，质量保修期承诺符合最低标准，履约保障措施针对性不足，1-2 分； 4. 无售后服务方案，或方案严重不符合采购文件要求，无履约保障承诺，不得分。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施工现场环保、扬尘及噪声防治措施</w:t>
            </w:r>
          </w:p>
        </w:tc>
        <w:tc>
          <w:tcPr>
            <w:tcW w:type="dxa" w:w="2492"/>
          </w:tcPr>
          <w:p>
            <w:pPr>
              <w:pStyle w:val="null3"/>
            </w:pPr>
            <w:r>
              <w:rPr>
                <w:rFonts w:ascii="仿宋_GB2312" w:hAnsi="仿宋_GB2312" w:cs="仿宋_GB2312" w:eastAsia="仿宋_GB2312"/>
              </w:rPr>
              <w:t>1. 环保、扬尘治理、降噪、固废处置、污水排放等措施体系完整、针对性强、贴合本项目现场实际，方案细致可落地，措施全面规范，2-4 分； 2. 环保及扬尘噪声防治措施齐全，主要管控环节均有对应措施，内容较完整，基本满足项目施工环保要求，1-2分； 3. 仅有基础环保措施，内容简单笼统，针对性不强，部分管控环节缺失，0-1分； 4. 环保防治措施严重缺失、内容空洞，不满足项目环保施工基本要求或存在重大缺陷、不响应采购实质性条件，不得分。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满足磋商文件要求且磋商响应最低的报价（最后的响应报价）为评标基准价，其价格分为满分。其他磋商供应商的价格分统一按照下列公式计算：磋商报价得分=（评标基准价/磋商报价）×30。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详见附件：响应文件签署人身份证明.pdf</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详见附件：企业资质要求.pdf</w:t>
      </w:r>
    </w:p>
    <w:p>
      <w:pPr>
        <w:pStyle w:val="null3"/>
        <w:ind w:firstLine="960"/>
      </w:pPr>
      <w:r>
        <w:rPr>
          <w:rFonts w:ascii="仿宋_GB2312" w:hAnsi="仿宋_GB2312" w:cs="仿宋_GB2312" w:eastAsia="仿宋_GB2312"/>
        </w:rPr>
        <w:t>详见附件：有效的主体资格证明.pdf</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详见附件：项目经理资格要求.pdf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