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FA0B3">
      <w:pPr>
        <w:widowControl/>
        <w:numPr>
          <w:numId w:val="0"/>
        </w:numPr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 w:bidi="ar"/>
        </w:rPr>
        <w:t>采购一家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bidi="ar"/>
        </w:rPr>
        <w:t>供应商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 w:bidi="ar"/>
        </w:rPr>
        <w:t>提供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bidi="ar"/>
        </w:rPr>
        <w:t>对本项目医疗机构的医疗废物进行统一上门回收、运输和无害化集中处置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 w:bidi="ar"/>
        </w:rPr>
        <w:t>的服务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bidi="ar"/>
        </w:rPr>
        <w:t>。</w:t>
      </w:r>
    </w:p>
    <w:p w14:paraId="09821C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Zjc4Y2U3MzczMzJjYzAwY2FiMmZlMDVlZDUxOTUifQ=="/>
  </w:docVars>
  <w:rsids>
    <w:rsidRoot w:val="71E5030C"/>
    <w:rsid w:val="71E5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2024-11-03T05:17:00Z</dcterms:created>
  <dc:creator>Administrator</dc:creator>
  <cp:lastModifiedBy>Administrator</cp:lastModifiedBy>
  <dcterms:modified xsi:type="dcterms:W3CDTF">2024-11-03T05:25:09Z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F9EE5A7A678A466F90F1DE66BC830C68_11</vt:lpwstr>
  </property>
</Properties>
</file>