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版本号：JXRZ-HC-2025-13220251020003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西乡县2025年普通公路养护工程火白路何家山村段路面中修工程项目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JXRZ-HC-2025-132</w:t>
      </w:r>
      <w:r>
        <w:br/>
      </w:r>
      <w:r>
        <w:br/>
      </w:r>
      <w:r>
        <w:br/>
      </w:r>
    </w:p>
    <w:p>
      <w:pPr>
        <w:pStyle w:val="null3"/>
        <w:jc w:val="center"/>
        <w:outlineLvl w:val="2"/>
      </w:pPr>
      <w:r>
        <w:rPr>
          <w:rFonts w:ascii="仿宋_GB2312" w:hAnsi="仿宋_GB2312" w:cs="仿宋_GB2312" w:eastAsia="仿宋_GB2312"/>
          <w:sz w:val="28"/>
          <w:b/>
        </w:rPr>
        <w:t>西乡县白龙塘镇人民政府</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西乡县白龙塘镇人民政府</w:t>
      </w:r>
      <w:r>
        <w:rPr>
          <w:rFonts w:ascii="仿宋_GB2312" w:hAnsi="仿宋_GB2312" w:cs="仿宋_GB2312" w:eastAsia="仿宋_GB2312"/>
        </w:rPr>
        <w:t>委托，拟对</w:t>
      </w:r>
      <w:r>
        <w:rPr>
          <w:rFonts w:ascii="仿宋_GB2312" w:hAnsi="仿宋_GB2312" w:cs="仿宋_GB2312" w:eastAsia="仿宋_GB2312"/>
        </w:rPr>
        <w:t>西乡县2025年普通公路养护工程火白路何家山村段路面中修工程项目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西乡县2025年普通公路养护工程火白路何家山村段路面中修工程项目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一标段：该项目起点位于白龙塘镇沈坪村至终点何家山村委会（K21+588-K27+995）。主要内容为：路基路面、涵洞、挡土墙等工程内容。具体施工内容，详见设计图纸及本项目工程量清单。 二标段：该项目起点位于何家山村委会至终点白龙塘镇石材工业园（K27+995-K29+336）。主要内容为：路基路面、涵洞等工程内容。具体施工内容，详见设计图纸及本项目工程量清单。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4、供应商资质：供应商具有公路工程或市政公用工程施工总承包三级及以上资质或路面养护乙级及以上资质，具有有效的安全生产许可证；</w:t>
      </w:r>
    </w:p>
    <w:p>
      <w:pPr>
        <w:pStyle w:val="null3"/>
      </w:pPr>
      <w:r>
        <w:rPr>
          <w:rFonts w:ascii="仿宋_GB2312" w:hAnsi="仿宋_GB2312" w:cs="仿宋_GB2312" w:eastAsia="仿宋_GB2312"/>
        </w:rPr>
        <w:t>5、拟派项目负责人资格：拟派项目经理须具有公路工程或市政公用工程专业注册建造师二级（含二级）及以上执业资格和安全生产考核合格B证，且无在建项目。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1、法定代表人身份证明或授权委托书：法定代表人参加投标须提供《法定代表人身份证明》及身份证扫描件；法定代表人授权他人参加投标，须提供《法定代表人授权委托书》、委托代理人身份证扫描件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4、供应商资质：供应商具有公路工程或市政公用工程施工总承包三级及以上资质或路面养护乙级及以上资质，具有有效的安全生产许可证；</w:t>
      </w:r>
    </w:p>
    <w:p>
      <w:pPr>
        <w:pStyle w:val="null3"/>
      </w:pPr>
      <w:r>
        <w:rPr>
          <w:rFonts w:ascii="仿宋_GB2312" w:hAnsi="仿宋_GB2312" w:cs="仿宋_GB2312" w:eastAsia="仿宋_GB2312"/>
        </w:rPr>
        <w:t>5、拟派项目负责人资格：拟派项目经理须具有公路工程或市政公用工程专业注册建造师二级（含二级）及以上执业资格和安全生产考核合格B证，且无在建项目。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西乡县白龙塘镇人民政府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西乡县白龙镇政府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西乡县白龙塘镇人民政府经办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13700264481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17729067337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采购包1：2,597,871.87元</w:t>
            </w:r>
          </w:p>
          <w:p>
            <w:pPr>
              <w:pStyle w:val="null3"/>
            </w:pPr>
            <w:r>
              <w:rPr>
                <w:rFonts w:ascii="仿宋_GB2312" w:hAnsi="仿宋_GB2312" w:cs="仿宋_GB2312" w:eastAsia="仿宋_GB2312"/>
              </w:rPr>
              <w:t>采购包2：620,710.57元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西乡县白龙塘镇人民政府</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西乡县白龙塘镇人民政府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西乡县白龙塘镇人民政府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联系电话：17729067337</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2,597,871.87</w:t>
      </w:r>
    </w:p>
    <w:p>
      <w:pPr>
        <w:pStyle w:val="null3"/>
      </w:pPr>
      <w:r>
        <w:rPr>
          <w:rFonts w:ascii="仿宋_GB2312" w:hAnsi="仿宋_GB2312" w:cs="仿宋_GB2312" w:eastAsia="仿宋_GB2312"/>
        </w:rPr>
        <w:t>采购包最高限价（元）: 2,597,871.87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2,597,871.87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620,710.57</w:t>
      </w:r>
    </w:p>
    <w:p>
      <w:pPr>
        <w:pStyle w:val="null3"/>
      </w:pPr>
      <w:r>
        <w:rPr>
          <w:rFonts w:ascii="仿宋_GB2312" w:hAnsi="仿宋_GB2312" w:cs="仿宋_GB2312" w:eastAsia="仿宋_GB2312"/>
        </w:rPr>
        <w:t>采购包最高限价（元）: 620,710.57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620,710.57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该项目起点位于白龙塘镇沈坪村至终点何家山村委会（</w:t>
            </w:r>
            <w:r>
              <w:rPr>
                <w:rFonts w:ascii="仿宋_GB2312" w:hAnsi="仿宋_GB2312" w:cs="仿宋_GB2312" w:eastAsia="仿宋_GB2312"/>
                <w:sz w:val="21"/>
              </w:rPr>
              <w:t>K21+588-K27+995）。主要内容为：路基路面、涵洞、挡土墙等工程内容。具体施工内容，详见设计图纸</w:t>
            </w:r>
            <w:r>
              <w:rPr>
                <w:rFonts w:ascii="仿宋_GB2312" w:hAnsi="仿宋_GB2312" w:cs="仿宋_GB2312" w:eastAsia="仿宋_GB2312"/>
                <w:sz w:val="21"/>
              </w:rPr>
              <w:t>及</w:t>
            </w:r>
            <w:r>
              <w:rPr>
                <w:rFonts w:ascii="仿宋_GB2312" w:hAnsi="仿宋_GB2312" w:cs="仿宋_GB2312" w:eastAsia="仿宋_GB2312"/>
                <w:sz w:val="21"/>
              </w:rPr>
              <w:t>本项目工程量清单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150日历天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缺陷责任期</w:t>
            </w:r>
            <w:r>
              <w:rPr>
                <w:rFonts w:ascii="仿宋_GB2312" w:hAnsi="仿宋_GB2312" w:cs="仿宋_GB2312" w:eastAsia="仿宋_GB2312"/>
                <w:sz w:val="21"/>
              </w:rPr>
              <w:t>:验收合格后2年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 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该项目起点位于何家山村委会至终点白龙塘镇石材工业园（</w:t>
            </w:r>
            <w:r>
              <w:rPr>
                <w:rFonts w:ascii="仿宋_GB2312" w:hAnsi="仿宋_GB2312" w:cs="仿宋_GB2312" w:eastAsia="仿宋_GB2312"/>
                <w:sz w:val="21"/>
              </w:rPr>
              <w:t>K27+995-K29+336）。主要内容为：路基路面、涵洞等工程内容。</w:t>
            </w:r>
            <w:r>
              <w:rPr>
                <w:rFonts w:ascii="仿宋_GB2312" w:hAnsi="仿宋_GB2312" w:cs="仿宋_GB2312" w:eastAsia="仿宋_GB2312"/>
                <w:sz w:val="21"/>
              </w:rPr>
              <w:t>具体施工内容，</w:t>
            </w:r>
            <w:r>
              <w:rPr>
                <w:rFonts w:ascii="仿宋_GB2312" w:hAnsi="仿宋_GB2312" w:cs="仿宋_GB2312" w:eastAsia="仿宋_GB2312"/>
                <w:sz w:val="21"/>
              </w:rPr>
              <w:t>详见设计图纸</w:t>
            </w:r>
            <w:r>
              <w:rPr>
                <w:rFonts w:ascii="仿宋_GB2312" w:hAnsi="仿宋_GB2312" w:cs="仿宋_GB2312" w:eastAsia="仿宋_GB2312"/>
                <w:sz w:val="21"/>
              </w:rPr>
              <w:t>及</w:t>
            </w:r>
            <w:r>
              <w:rPr>
                <w:rFonts w:ascii="仿宋_GB2312" w:hAnsi="仿宋_GB2312" w:cs="仿宋_GB2312" w:eastAsia="仿宋_GB2312"/>
                <w:sz w:val="21"/>
              </w:rPr>
              <w:t>本项目工程量清单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150日历天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缺陷责任期</w:t>
            </w:r>
            <w:r>
              <w:rPr>
                <w:rFonts w:ascii="仿宋_GB2312" w:hAnsi="仿宋_GB2312" w:cs="仿宋_GB2312" w:eastAsia="仿宋_GB2312"/>
                <w:sz w:val="21"/>
              </w:rPr>
              <w:t>:验收合格后2年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投标报价要求:（1）供应商应充分考虑招标文件的各项条款、项目现场实际情况、供应商所掌握的市场情况及现行有关政策法规的要求，根据企业自身情况及上述要求自主做出填报投标总价及全费用单价报价；（2）供应商投标报价中的价格均包括完成该工程的人工费、材料费、机械使用费企业管理费、利润、分部分项工程费、措施费、其他项目费、规费、税 金以及合同中明示或暗示的所有风险、责任和义务等全部费用。（3）投标报价时各供应商应根据文件说明、做法、施工组织设计、施工验收规范现场条件、工程特点等内容编制投标报价。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供应商应提交的相关资格证明材料001.docx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供应商具有公路工程或市政公用工程施工总承包三级及以上资质或路面养护乙级及以上资质，具有有效的安全生产许可证；</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拟派项目经理须具有公路工程或市政公用工程专业注册建造师二级（含二级）及以上执业资格和安全生产考核合格B证，且无在建项目。</w:t>
            </w:r>
          </w:p>
        </w:tc>
        <w:tc>
          <w:tcPr>
            <w:tcW w:type="dxa" w:w="1661"/>
          </w:tcPr>
          <w:p>
            <w:pPr>
              <w:pStyle w:val="null3"/>
            </w:pPr>
            <w:r>
              <w:rPr>
                <w:rFonts w:ascii="仿宋_GB2312" w:hAnsi="仿宋_GB2312" w:cs="仿宋_GB2312" w:eastAsia="仿宋_GB2312"/>
              </w:rPr>
              <w:t>项目管理机构组成表 响应函 主要人员简历表 拟派项目团队人员配置表001.docx 供应商应提交的相关资格证明材料001.docx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供应商具有公路工程或市政公用工程施工总承包三级及以上资质或路面养护乙级及以上资质，具有有效的安全生产许可证；</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拟派项目经理须具有公路工程或市政公用工程专业注册建造师二级（含二级）及以上执业资格和安全生产考核合格B证，且无在建项目。</w:t>
            </w:r>
          </w:p>
        </w:tc>
        <w:tc>
          <w:tcPr>
            <w:tcW w:type="dxa" w:w="1661"/>
          </w:tcPr>
          <w:p>
            <w:pPr>
              <w:pStyle w:val="null3"/>
            </w:pPr>
            <w:r>
              <w:rPr>
                <w:rFonts w:ascii="仿宋_GB2312" w:hAnsi="仿宋_GB2312" w:cs="仿宋_GB2312" w:eastAsia="仿宋_GB2312"/>
              </w:rPr>
              <w:t>项目管理机构组成表 响应函 主要人员简历表 拟派项目团队人员配置表001.docx 供应商应提交的相关资格证明材料001.docx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其他资料001.docx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技术部分方案001.docx 主要人员简历表 拟派项目团队人员配置表001.docx 监狱企业的证明文件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其他资料001.docx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技术部分方案001.docx 主要人员简历表 拟派项目团队人员配置表001.docx 监狱企业的证明文件 供应商应提交的相关资格证明材料001.docx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括但不限于：①施工目标:成本目标、工期目标、质量目标；②施工准备：技术准备、材料准备、机械设备、机具准备；③施工平面布置与安排：现场围挡及出入口管理、交通组织安排、消防安排、施工平面布置图。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供应商编制完善的施工总进度计划，内容包括但不限于：①施工总进度目标；②施工总进度计划；③施工进度保障措施。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供应商编制完善的安全技术措施，内容包括但不限于：①安全管理制度；②安全责任归属划分；③安全标识：安全警戒标语、施工人员安全警示服和安全帽穿配要求；④安全教育培训。 二、评审标准: 1、完整性:方案全面，对各方面内容中有详细描述; 2、合理性:方案实施步骤科学清晰、合理可行; 3、可实施性：切合本项目实际情况，提出步骤清晰、合理的方案； 三、赋分(满分9分) ①每满足一个评审标准，得1分，满分3分； ②每满足一个评审标准，得1分，满分3分； ③每满足一个评审标准，得0.5分，满分1.5分； ④每满足一个评审标准，得0.5分，满分1.5分；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供应商编制完善的文明施工措施，内容包括但不限于：①材料、半成品和机具的堆放管理②文明施工检查措施。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供应商针对本项目编制主要管理措施，内容包括但不限于：①分部分项工程施工方法；②成品保护措施；③季节性施工措施；④工程重难点及解决措施；⑤施工质量通病防治措施。 二、评审标准 1、完善性：方案必须全面，对评审内容中的各项要求有详细阐述； 2、可实施性：切合本项目实际情况，提出步骤清晰、合理的方案； 3、针对性：方案能够紧扣项目实际情况，内容科学合理。 三、赋分(满分15分) ①每满足一个评审标准，得1分，满分3分； ②每满足一个评审标准，得1分，满分3分； ③每满足一个评审标准，得1分，满分3分； ④每满足一个评审标准，得1分，满分3分； ⑤每满足一个评审标准，得1分，满分3分；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一、评审内容 根据项目实际需求提供工程质量保证措施。内容包括但不限于：①质量管控组织与职责②关键工序质量控制措施③质量检测与验收方案。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评审内容：针对本项目提供详尽的应急预案，内容包括但不限于：①应急响应时间；②应急处理程序；③应急保障措施。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针对本项目提供资源配置计划，内容包括但不限于：①拟投入的主要施工机械设备计划；②主要材料进场计划；③劳动力投入计划。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供应商提供近三年（自2022年10月至今）类似业绩，响应文件中应附有其业绩证明材料，业绩以协议书（合同）或（中标）成交通知书加盖公章的复印件为依据，每提供一个得1分，满分4分。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括但不限于：①施工目标:成本目标、工期目标、质量目标；②施工准备：技术准备、材料准备、机械设备、机具准备；③施工平面布置与安排：现场围挡及出入口管理、交通组织安排、消防安排、施工平面布置图。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供应商编制完善的施工总进度计划，内容包括但不限于：①施工总进度目标；②施工总进度计划；③施工进度保障措施。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供应商编制完善的安全技术措施，内容包括但不限于：①安全管理制度；②安全责任归属划分；③安全标识：安全警戒标语、施工人员安全警示服和安全帽穿配要求；④安全教育培训。 二、评审标准: 1、完整性:方案全面，对各方面内容中有详细描述; 2、合理性:方案实施步骤科学清晰、合理可行; 3、可实施性：切合本项目实际情况，提出步骤清晰、合理的方案； 三、赋分(满分9分) ①每满足一个评审标准，得1分，满分3分； ②每满足一个评审标准，得1分，满分3分； ③每满足一个评审标准，得0.5分，满分1.5分； ④每满足一个评审标准，得0.5分，满分1.5分；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供应商编制完善的文明施工措施，内容包括但不限于：①材料、半成品和机具的堆放管理②文明施工检查措施。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供应商针对本项目编制主要管理措施，内容包括但不限于：①分部分项工程施工方法；②成品保护措施；③季节性施工措施；④工程重难点及解决措施；⑤施工质量通病防治措施。 二、评审标准 1、完善性：方案必须全面，对评审内容中的各项要求有详细阐述； 2、可实施性：切合本项目实际情况，提出步骤清晰、合理的方案； 3、针对性：方案能够紧扣项目实际情况，内容科学合理。 三、赋分(满分15分) ①每满足一个评审标准，得1分，满分3分； ②每满足一个评审标准，得1分，满分3分； ③每满足一个评审标准，得1分，满分3分； ④每满足一个评审标准，得1分，满分3分； ⑤每满足一个评审标准，得1分，满分3分；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一、评审内容 根据项目实际需求提供工程质量保证措施。内容包括但不限于：①质量管控组织与职责②关键工序质量控制措施③质量检测与验收方案。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评审内容：针对本项目提供详尽的应急预案，内容包括但不限于：①应急响应时间；②应急处理程序；③应急保障措施。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针对本项目提供资源配置计划，内容包括但不限于：①拟投入的主要施工机械设备计划；②主要材料进场计划；③劳动力投入计划。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拟派项目团队人员配置表001.docx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供应商提供近三年（自2022年10月至今）类似业绩，响应文件中应附有其业绩证明材料，业绩以协议书（合同）或（中标）成交通知书加盖公章的复印件为依据，每提供一个得1分，满分4分。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详见附件：供应商应提交的相关资格证明材料001.docx</w:t>
      </w:r>
    </w:p>
    <w:p>
      <w:pPr>
        <w:pStyle w:val="null3"/>
        <w:ind w:firstLine="960"/>
      </w:pPr>
      <w:r>
        <w:rPr>
          <w:rFonts w:ascii="仿宋_GB2312" w:hAnsi="仿宋_GB2312" w:cs="仿宋_GB2312" w:eastAsia="仿宋_GB2312"/>
        </w:rPr>
        <w:t>详见附件：技术部分方案001.docx</w:t>
      </w:r>
    </w:p>
    <w:p>
      <w:pPr>
        <w:pStyle w:val="null3"/>
        <w:ind w:firstLine="960"/>
      </w:pPr>
      <w:r>
        <w:rPr>
          <w:rFonts w:ascii="仿宋_GB2312" w:hAnsi="仿宋_GB2312" w:cs="仿宋_GB2312" w:eastAsia="仿宋_GB2312"/>
        </w:rPr>
        <w:t>详见附件：拟派项目团队人员配置表001.docx</w:t>
      </w:r>
    </w:p>
    <w:p>
      <w:pPr>
        <w:pStyle w:val="null3"/>
        <w:ind w:firstLine="960"/>
      </w:pPr>
      <w:r>
        <w:rPr>
          <w:rFonts w:ascii="仿宋_GB2312" w:hAnsi="仿宋_GB2312" w:cs="仿宋_GB2312" w:eastAsia="仿宋_GB2312"/>
        </w:rPr>
        <w:t>详见附件：其他资料001.docx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详见附件：供应商应提交的相关资格证明材料001.docx</w:t>
      </w:r>
    </w:p>
    <w:p>
      <w:pPr>
        <w:pStyle w:val="null3"/>
        <w:ind w:firstLine="960"/>
      </w:pPr>
      <w:r>
        <w:rPr>
          <w:rFonts w:ascii="仿宋_GB2312" w:hAnsi="仿宋_GB2312" w:cs="仿宋_GB2312" w:eastAsia="仿宋_GB2312"/>
        </w:rPr>
        <w:t>详见附件：技术部分方案001.docx</w:t>
      </w:r>
    </w:p>
    <w:p>
      <w:pPr>
        <w:pStyle w:val="null3"/>
        <w:ind w:firstLine="960"/>
      </w:pPr>
      <w:r>
        <w:rPr>
          <w:rFonts w:ascii="仿宋_GB2312" w:hAnsi="仿宋_GB2312" w:cs="仿宋_GB2312" w:eastAsia="仿宋_GB2312"/>
        </w:rPr>
        <w:t>详见附件：拟派项目团队人员配置表001.docx</w:t>
      </w:r>
    </w:p>
    <w:p>
      <w:pPr>
        <w:pStyle w:val="null3"/>
        <w:ind w:firstLine="960"/>
      </w:pPr>
      <w:r>
        <w:rPr>
          <w:rFonts w:ascii="仿宋_GB2312" w:hAnsi="仿宋_GB2312" w:cs="仿宋_GB2312" w:eastAsia="仿宋_GB2312"/>
        </w:rPr>
        <w:t>详见附件：其他资料001.docx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详见附件：拟签订的施工合同001.docx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