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版本号：SCZD2025-ZB-2249-00120251208003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CT采购项目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SCZD2025-ZB-2249-001</w:t>
      </w:r>
      <w:r>
        <w:br/>
      </w:r>
      <w:r>
        <w:br/>
      </w:r>
      <w:r>
        <w:br/>
      </w:r>
    </w:p>
    <w:p>
      <w:pPr>
        <w:pStyle w:val="null3"/>
        <w:jc w:val="center"/>
        <w:outlineLvl w:val="2"/>
      </w:pPr>
      <w:r>
        <w:rPr>
          <w:rFonts w:ascii="仿宋_GB2312" w:hAnsi="仿宋_GB2312" w:cs="仿宋_GB2312" w:eastAsia="仿宋_GB2312"/>
          <w:sz w:val="28"/>
          <w:b/>
        </w:rPr>
        <w:t>西乡县高川中心卫生院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西乡县高川中心卫生院</w:t>
      </w:r>
      <w:r>
        <w:rPr>
          <w:rFonts w:ascii="仿宋_GB2312" w:hAnsi="仿宋_GB2312" w:cs="仿宋_GB2312" w:eastAsia="仿宋_GB2312"/>
        </w:rPr>
        <w:t>委托，拟对</w:t>
      </w:r>
      <w:r>
        <w:rPr>
          <w:rFonts w:ascii="仿宋_GB2312" w:hAnsi="仿宋_GB2312" w:cs="仿宋_GB2312" w:eastAsia="仿宋_GB2312"/>
        </w:rPr>
        <w:t>CT采购项目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SCZD2025-ZB-2249-001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CT采购项目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CT采购项目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西乡县高川中心卫生院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西乡县高川镇高川街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西乡县高川中心卫生院经办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0916-6311038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西安市锦业路1号都市之门C座九层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王思瑞、雷鹏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西乡县政府采购管理股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0916-6221471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银行账号：102062457382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西乡县高川中心卫生院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西乡县高川中心卫生院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西乡县高川中心卫生院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CT采购项目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CT采购项目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CT采购项目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881"/>
              <w:gridCol w:w="1776"/>
              <w:gridCol w:w="532"/>
            </w:tblGrid>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机架系统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要求</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滑环类型</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低压滑环</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 xml:space="preserve">扫描架孔径 </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≥70cm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焦点到等中心点的距离</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≥560mm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焦点到探测器的距离</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≥960mm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PSC集成于机架内部</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机架支持物理倾斜（非数字倾斜）</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具备机架旁摆位功能，技师可在机架旁一键进行扫描床进出操作</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具备人工智能摆位功能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具备孔径内摄像头，扫描中可实时监控对象扫描状态</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三维激光定位系统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1.11.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机架冷却方式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风冷</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扫描参数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2.1.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24"/>
                      <w:color w:val="000000"/>
                    </w:rPr>
                    <w:t>机架最快旋转扫描时间/360°</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≤0.68s</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单圈扫描获得层数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≥64层</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最薄扫描层厚</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≤0.6mm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扫描视野</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≥50cm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最大重建矩阵</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≥1024x1024</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最长连续曝光时间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≥100s</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最大水平可扫描范围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≥1700mm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定位像长度</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≥1700mm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最大螺距</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螺距自由选择</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扫描模式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轴扫、螺旋</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能谱扫描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低剂量肺扫描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探测器及数据采样系统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探测器类型</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固态稀土陶瓷</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探测器Z轴排列数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≥32排</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探测器单元Z轴最小尺寸</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≤0.6mm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探测器Z轴总宽度</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每排探测器单元数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≥860个</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探测器物理单元总数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≥34000个</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探测器每圈采样数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≥4800views/圈</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球管及高压系统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球管阳极物理热容量（非等效）</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＞3.5MHU</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球管阳极最大散热率</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≥740KHU/min</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为保证设备稳定性，提供原厂原装球管（CT 球管与CT 主机同品牌，提供注册证或者检测报告证明文件）</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最大球管电压</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≥140KV</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最小球管电压</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≤60KV</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最大输出管电流</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≥400mA</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最小输出管电流</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≤10mA</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最小毫安调节范围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≤1mA</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球管小焦点</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≤0.7mm×0.8mm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球管大焦点</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≤1.2mm×1.4mm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高压发生器功率</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≥45KW</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智能工作流相关功能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具备人工智能摄像采集系统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摄像头具备看护功能：扫描全程中可实时观察到扫描对象情况。</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摄像头具备运动提示功能：扫描过程中，若扫描对象发生运动，软件界面会出现扫描对象运动提示。</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摄像头具备防止扫描对象碰撞功能：若检测到扫描对象与机架孔径存在碰撞干涉风险，界面会有提示。</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智能扫描方案可学习使用人员操作习惯，根据各扫描协议使用频率优化协议排序，将最常用的扫描协议排序至顶端，方便选择。</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智能扫描方案具备预判能力，在扫描开始前加速球管旋转，缩短扫描准备时间。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智能扫描方案具备金属异物检测功能：扫描定位像检测到金属异物时，AI智能算法可以自动识别金属并精准标记。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具备远程一键退床功能，扫描完成后可在操作台一键退床。</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协议共享：支持用户进行协议分享、浏览、下载、交流等功能。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基础图像分析软件</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图像减影功能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CT电影功能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MPR/CPR/SSD/MIP/VR</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组织裁剪功能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三维（3D、SSD）软件</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最大及最小密度投影（MIP,MinP）</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三维容积测量评估功能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CT血管造影</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一键式容积重建</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血管测量功能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一键式去骨功能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一键式骨分离功能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容积漫游（VRT）</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智能图像处理功能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具备头部运动伪影校正算法，可消除头部运动伪影优化头部图像质量。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具备AI深度学习降噪算法，可以有效降低图像噪声、提高低对比度分辨率，提升在低剂量扫描下的诊断准确性。</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智能后处理图像分析具备头颈部直接去骨功能，无需平扫和剪影，直接生成无骨骼的头颈部血管CTA数据。</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智能后处理及辅助诊断方案具备骨分离功能，一键提取/去除指定骨骼。</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智能后处理及辅助诊断方案具备计算机辅助肺结节查找及分析功能，可自动查找，筛选并提取肺结节，自动计算肺结节体积。</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智能图像处理具备组织生长功能，可智能提取指定位置的软组织及骨骼，计算提取组织的密度。</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智能图像处理具备去金属伪影功能，提高图像质量的同时还原身体结构和解剖细节。</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智能后处理及辅助诊断方案具备能谱分析应用软件，能够实现更为精准的物质分离以及物质定量分析。</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智能后处理及辅助诊断方案具备血管分析应用:三维可视化呈现血管全貌，辅助诊断血管狭窄及分级。</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智能后处理及辅助诊断方案具备结肠分析应用应用: 支持结肠自动分割、中心线精准提取及结肠内窥视图生成，提供更多结肠结构信息。</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扫描床</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最大水平移动范围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≥2100mm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最大可扫描范围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≥1700mm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扫描床升降范围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≥480mm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扫描床最大载重量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≥250Kg</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图像质量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空间分辨率（X,Y轴) @0%MTF</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≥22lp/cm</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密度分辨率</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≤2mm@0.3%</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主控制台计算机系统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内存</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≥32GB</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硬盘</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≥3TB</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图像存储量(512矩阵不压缩图像)</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≥900,000幅</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主频</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≥3.5GHz</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CPU内核数目</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≥12核</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高分辨率液晶平面显示器，显示矩阵</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≥1920ⅹ1080</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重建速度</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≥25IPS</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网络接口DICOM 3.0</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激光相机DICOM3.0接口</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10.10.</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提供DICOM3.0,所有传出及传入接口功能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自动语音系统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同步并行图像处理功能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主控制台可以独立完成MPR,SSD,MIP,CTA，三维容积重建等三维后处理功能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其他配置要求</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智能脑出血分析评估系统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智能肋骨分析系统，需具备一键肋骨平铺功能</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智能齿科辅助诊断系统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智能在线重建椎间盘重建分析系统</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配备3M医用灰阶显示器1台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11.6</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成人防护用品：铅衣 1 件，铅帽 1 件，铅围脖 1 件，铅方巾 1 件，包裹式防护毯 1 件，防护专用衣架 1 件</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≥0.5mm铅当量</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11.7</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儿童防护用品：铅衣 1 件，铅帽 1 件，铅围脖 1 件，护手1 付，眼镜 1 付</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≥0.5mm铅当量</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11.8</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配备图文报告工作站（含电脑，打印机，工作站软件）一套</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▲11.9</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整机免费质保期≥3年</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其他设备</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12.1</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配备UPS一台，支持偶然断电按程序关机</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≥3KVA</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12.2</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空调：操作间挂机（1.5匹）一台、机房柜机（3匹）一台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12.3</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胶片打印机一台</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12.4</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桌子（长1.2m）、椅子一套</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r>
              <w:tc>
                <w:tcPr>
                  <w:tcW w:type="dxa" w:w="8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12.5</w:t>
                  </w:r>
                </w:p>
              </w:tc>
              <w:tc>
                <w:tcPr>
                  <w:tcW w:type="dxa" w:w="17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PACS系统对接设备：能与现有系统对接</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合同签订后，乙方收到甲方书面供货通知函后的120个日历日内完成所有的供货。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西乡县高川中心卫生院。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调试验收合格并正常运行</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因政府采购系统设置局限性，本项目实际支付结算方式为：1、供应商为非中小微企业：（1）合同签订后，达到付款条件起20日内，支付合同总金额的30.00%。（2）到货安装完成后，达到付款条件起20日内，支付合同总金额的40.00%。（3）调试验收合格并正常运行，达到付款条件起20日内，支付合同总金额的30.00%。 2、供应商为中小微企业：（1）合同签订后，达到付款条件起20日内，支付合同总金额的40.00%。（2）到货安装完成后，达到付款条件起20日内，支付合同总金额的30.00%。（3）调试验收合格并正常运行，达到付款条件起20日内，支付合同总金额的30.00%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①营业执照：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②其他内容：提供汉中市基本资格条件承诺函。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投标人应提交的相关资格证明材料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产品技术参数表 商务应答表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投标产品的技术指标评审：完全响应得34分。“▲”项技术指标一项不满足扣3分，一般技术指标一项不满足扣1分，扣完为止。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提供2021年1月1日至投标截止时间（以合同签订时间为准）所投品牌同类产品业绩，每提供一个业绩得1分，满分6分。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