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版本号：CG-JMYC-2025-07420251028002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西乡县百万亩绿色碳库试点示范项目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CG-JMYC-2025-074</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陕西金沐烨城项目管理有限公司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陕西金沐烨城项目管理有限公司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西乡县百万亩绿色碳库试点示范项目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CG-JMYC-2025-074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西乡县百万亩绿色碳库试点示范项目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建设以森林提质增碳为目标，通过中幼龄林抚育和碳汇计量监测的建设，形成森林碳库示范点。实施中幼龄林抚育10431亩，达到改善林内通风透光条件、调整林分结构、提高林分质量，在保持现有碳汇储量的基础上，持续提升碳汇增量；建设碳汇计量监测点4组，配备相关监测仪器和设施设备，达到碳汇计量监测要求；计划到2030年，项目区林木蓄积量为5.75万立方米。碳储量预计达到2.87万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采购包1（西乡县百万亩绿色碳库试点示范项目1包）：属于专门面向中小企业采购。</w:t>
      </w:r>
    </w:p>
    <w:p>
      <w:pPr>
        <w:pStyle w:val="null3"/>
      </w:pPr>
      <w:r>
        <w:rPr>
          <w:rFonts w:ascii="仿宋_GB2312" w:hAnsi="仿宋_GB2312" w:cs="仿宋_GB2312" w:eastAsia="仿宋_GB2312"/>
        </w:rPr>
        <w:t>采购包2（西乡县百万亩绿色碳库试点示范项目2包）：属于专门面向中小企业采购。</w:t>
      </w:r>
    </w:p>
    <w:p>
      <w:pPr>
        <w:pStyle w:val="null3"/>
      </w:pPr>
      <w:r>
        <w:rPr>
          <w:rFonts w:ascii="仿宋_GB2312" w:hAnsi="仿宋_GB2312" w:cs="仿宋_GB2312" w:eastAsia="仿宋_GB2312"/>
        </w:rPr>
        <w:t>采购包3（西乡县百万亩绿色碳库试点示范项目3包）：属于专门面向中小企业采购。</w:t>
      </w:r>
    </w:p>
    <w:p>
      <w:pPr>
        <w:pStyle w:val="null3"/>
      </w:pPr>
      <w:r>
        <w:rPr>
          <w:rFonts w:ascii="仿宋_GB2312" w:hAnsi="仿宋_GB2312" w:cs="仿宋_GB2312" w:eastAsia="仿宋_GB2312"/>
        </w:rPr>
        <w:t>采购包4（西乡县百万亩绿色碳库试点示范项目4包）：属于专门面向中小企业采购。</w:t>
      </w:r>
    </w:p>
    <w:p>
      <w:pPr>
        <w:pStyle w:val="null3"/>
      </w:pPr>
      <w:r>
        <w:rPr>
          <w:rFonts w:ascii="仿宋_GB2312" w:hAnsi="仿宋_GB2312" w:cs="仿宋_GB2312" w:eastAsia="仿宋_GB2312"/>
        </w:rPr>
        <w:t>采购包5（西乡县百万亩绿色碳库试点示范项目5包）：属于专门面向中小企业采购。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15809299602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陕西金沐烨城项目管理有限公司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陕西省汉中市汉台区汉中路街道办事处南关正街汉上第一街12幢办公楼19层1-4室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18392621855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采购包1：2,330,400.00元</w:t>
            </w:r>
          </w:p>
          <w:p>
            <w:pPr>
              <w:pStyle w:val="null3"/>
            </w:pPr>
            <w:r>
              <w:rPr>
                <w:rFonts w:ascii="仿宋_GB2312" w:hAnsi="仿宋_GB2312" w:cs="仿宋_GB2312" w:eastAsia="仿宋_GB2312"/>
              </w:rPr>
              <w:t>采购包2：2,243,700.00元</w:t>
            </w:r>
          </w:p>
          <w:p>
            <w:pPr>
              <w:pStyle w:val="null3"/>
            </w:pPr>
            <w:r>
              <w:rPr>
                <w:rFonts w:ascii="仿宋_GB2312" w:hAnsi="仿宋_GB2312" w:cs="仿宋_GB2312" w:eastAsia="仿宋_GB2312"/>
              </w:rPr>
              <w:t>采购包3：2,005,100.00元</w:t>
            </w:r>
          </w:p>
          <w:p>
            <w:pPr>
              <w:pStyle w:val="null3"/>
            </w:pPr>
            <w:r>
              <w:rPr>
                <w:rFonts w:ascii="仿宋_GB2312" w:hAnsi="仿宋_GB2312" w:cs="仿宋_GB2312" w:eastAsia="仿宋_GB2312"/>
              </w:rPr>
              <w:t>采购包4：1,957,000.00元</w:t>
            </w:r>
          </w:p>
          <w:p>
            <w:pPr>
              <w:pStyle w:val="null3"/>
            </w:pPr>
            <w:r>
              <w:rPr>
                <w:rFonts w:ascii="仿宋_GB2312" w:hAnsi="仿宋_GB2312" w:cs="仿宋_GB2312" w:eastAsia="仿宋_GB2312"/>
              </w:rPr>
              <w:t>采购包5：1,463,800.00元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采购包4保证金金额：20,000.00元</w:t>
            </w:r>
          </w:p>
          <w:p>
            <w:pPr>
              <w:pStyle w:val="null3"/>
            </w:pPr>
            <w:r>
              <w:rPr>
                <w:rFonts w:ascii="仿宋_GB2312" w:hAnsi="仿宋_GB2312" w:cs="仿宋_GB2312" w:eastAsia="仿宋_GB2312"/>
              </w:rPr>
              <w:t>采购包5保证金金额：20,000.00元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开户名称：陕西金沐烨城项目管理有限公司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银行账号：103313983701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招标代理服务收费管理暂行办法》计价[2002]1980号和《国家发展改革委员会办公厅关于招标代理服务收费有关问题的通知》（发改办价格〔2003〕857号）文件服务类标准计算。2、缴费采用银行转账方式一次性交纳。 开户名称：陕西金沐烨城项目管理有限公司 开户银行：中国工商银行股份有限公司汉中北团结街支行 银行账号：2606050309200192113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陕西金沐烨城项目管理有限公司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陕西金沐烨城项目管理有限公司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陕西金沐烨城项目管理有限公司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联系人：陈强</w:t>
      </w:r>
    </w:p>
    <w:p>
      <w:pPr>
        <w:pStyle w:val="null3"/>
      </w:pPr>
      <w:r>
        <w:rPr>
          <w:rFonts w:ascii="仿宋_GB2312" w:hAnsi="仿宋_GB2312" w:cs="仿宋_GB2312" w:eastAsia="仿宋_GB2312"/>
        </w:rPr>
        <w:t>联系电话：18392621855</w:t>
      </w:r>
    </w:p>
    <w:p>
      <w:pPr>
        <w:pStyle w:val="null3"/>
      </w:pPr>
      <w:r>
        <w:rPr>
          <w:rFonts w:ascii="仿宋_GB2312" w:hAnsi="仿宋_GB2312" w:cs="仿宋_GB2312" w:eastAsia="仿宋_GB2312"/>
        </w:rPr>
        <w:t>地址：陕西省汉中市汉台区南关正街汉上第一街12号楼19层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以森林提质增碳为目标，通过中幼龄林抚育和碳汇计量监测的建设，形成森林碳库示范点。实施中幼龄林抚育10431亩，达到改善林内通风透光条件、调整林分结构、提高林分质量，在保持现有碳汇储量的基础上，持续提升碳汇增量；建设碳汇计量监测点4组，配备相关监测仪器和设施设备，达到碳汇计量监测要求；计划到2030年，汉中市西乡县2025年度省级林业草原改革发展资金“百万亩绿色碳库”示范基地项目区林木蓄积量为5.75万立方米。碳储量预计达到2.87万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2,330,400.00</w:t>
      </w:r>
    </w:p>
    <w:p>
      <w:pPr>
        <w:pStyle w:val="null3"/>
      </w:pPr>
      <w:r>
        <w:rPr>
          <w:rFonts w:ascii="仿宋_GB2312" w:hAnsi="仿宋_GB2312" w:cs="仿宋_GB2312" w:eastAsia="仿宋_GB2312"/>
        </w:rPr>
        <w:t>采购包最高限价（元）: 2,330,400.00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中幼龄林抚育2977亩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2,243,700.00</w:t>
      </w:r>
    </w:p>
    <w:p>
      <w:pPr>
        <w:pStyle w:val="null3"/>
      </w:pPr>
      <w:r>
        <w:rPr>
          <w:rFonts w:ascii="仿宋_GB2312" w:hAnsi="仿宋_GB2312" w:cs="仿宋_GB2312" w:eastAsia="仿宋_GB2312"/>
        </w:rPr>
        <w:t>采购包最高限价（元）: 2,243,700.00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中幼龄林抚育2640亩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2,243,700.00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2,005,100.00</w:t>
      </w:r>
    </w:p>
    <w:p>
      <w:pPr>
        <w:pStyle w:val="null3"/>
      </w:pPr>
      <w:r>
        <w:rPr>
          <w:rFonts w:ascii="仿宋_GB2312" w:hAnsi="仿宋_GB2312" w:cs="仿宋_GB2312" w:eastAsia="仿宋_GB2312"/>
        </w:rPr>
        <w:t>采购包最高限价（元）: 2,005,100.00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中幼龄林抚育2507亩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2,005,100.00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1,957,000.00</w:t>
      </w:r>
    </w:p>
    <w:p>
      <w:pPr>
        <w:pStyle w:val="null3"/>
      </w:pPr>
      <w:r>
        <w:rPr>
          <w:rFonts w:ascii="仿宋_GB2312" w:hAnsi="仿宋_GB2312" w:cs="仿宋_GB2312" w:eastAsia="仿宋_GB2312"/>
        </w:rPr>
        <w:t>采购包最高限价（元）: 1,957,000.00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中幼龄林抚育2307亩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1,463,800.00</w:t>
      </w:r>
    </w:p>
    <w:p>
      <w:pPr>
        <w:pStyle w:val="null3"/>
      </w:pPr>
      <w:r>
        <w:rPr>
          <w:rFonts w:ascii="仿宋_GB2312" w:hAnsi="仿宋_GB2312" w:cs="仿宋_GB2312" w:eastAsia="仿宋_GB2312"/>
        </w:rPr>
        <w:t>采购包最高限价（元）: 1,463,800.00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购置安装智能化设备及样地监测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标的名称：中幼龄林抚育2977亩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1.1抚育范围及对象</w:t>
            </w:r>
          </w:p>
          <w:p>
            <w:pPr>
              <w:pStyle w:val="null3"/>
              <w:jc w:val="left"/>
            </w:pPr>
            <w:r>
              <w:rPr>
                <w:rFonts w:ascii="仿宋_GB2312" w:hAnsi="仿宋_GB2312" w:cs="仿宋_GB2312" w:eastAsia="仿宋_GB2312"/>
              </w:rPr>
              <w:t>作业区位于西乡县骆家坝镇张家坝村，1-3,10-21号小班，共15个小班，作业面积2977亩（详见中幼龄林抚育作业量汇总表）。项目区所属地类均为乔木林地，龄组为中幼龄林，优势树种主要以栎类、马尾松、板栗为主，作业区部分小班内林冠下杂灌从生，幼树生长受灌草压制，灌木盖度达到15%-35%，藤本交错缠绕，枝条密集、交叉重叠，结构简单，林分稳定性、抗逆能力较差</w:t>
            </w:r>
            <w:r>
              <w:rPr>
                <w:rFonts w:ascii="仿宋_GB2312" w:hAnsi="仿宋_GB2312" w:cs="仿宋_GB2312" w:eastAsia="仿宋_GB2312"/>
              </w:rPr>
              <w:t>，部分区域存在林窗和林中空地。</w:t>
            </w:r>
          </w:p>
          <w:p>
            <w:pPr>
              <w:pStyle w:val="null3"/>
              <w:jc w:val="left"/>
            </w:pPr>
            <w:r>
              <w:rPr>
                <w:rFonts w:ascii="仿宋_GB2312" w:hAnsi="仿宋_GB2312" w:cs="仿宋_GB2312" w:eastAsia="仿宋_GB2312"/>
                <w:sz w:val="21"/>
                <w:b/>
                <w:color w:val="000000"/>
              </w:rPr>
              <w:t>1.2抚育方式</w:t>
            </w:r>
          </w:p>
          <w:p>
            <w:pPr>
              <w:pStyle w:val="null3"/>
              <w:jc w:val="left"/>
            </w:pPr>
            <w:r>
              <w:rPr>
                <w:rFonts w:ascii="仿宋_GB2312" w:hAnsi="仿宋_GB2312" w:cs="仿宋_GB2312" w:eastAsia="仿宋_GB2312"/>
              </w:rPr>
              <w:t>1. 疏伐+修枝+割灌</w:t>
            </w:r>
          </w:p>
          <w:p>
            <w:pPr>
              <w:pStyle w:val="null3"/>
            </w:pPr>
            <w:r>
              <w:rPr>
                <w:rFonts w:ascii="仿宋_GB2312" w:hAnsi="仿宋_GB2312" w:cs="仿宋_GB2312" w:eastAsia="仿宋_GB2312"/>
              </w:rPr>
              <w:t>1）培育树种：栓皮栎、马尾松、板栗。</w:t>
            </w:r>
          </w:p>
          <w:p>
            <w:pPr>
              <w:pStyle w:val="null3"/>
            </w:pPr>
            <w:r>
              <w:rPr>
                <w:rFonts w:ascii="仿宋_GB2312" w:hAnsi="仿宋_GB2312" w:cs="仿宋_GB2312" w:eastAsia="仿宋_GB2312"/>
              </w:rPr>
              <w:t>2）林分特点：以栓皮栎、马尾松、板栗为优势树种，林分郁闭度为0.80~0.85之间；林分密度较大、林内杂乱，劣势木较多；林木平均胸径9.3—10.9，树高8.4—9.5米；林下灌木较多，有马桑、盐肤木、连翘、胡枝子、卫矛、山胡椒等，灌草盖度为30-35%。</w:t>
            </w:r>
          </w:p>
          <w:p>
            <w:pPr>
              <w:pStyle w:val="null3"/>
            </w:pPr>
            <w:r>
              <w:rPr>
                <w:rFonts w:ascii="仿宋_GB2312" w:hAnsi="仿宋_GB2312" w:cs="仿宋_GB2312" w:eastAsia="仿宋_GB2312"/>
              </w:rPr>
              <w:t>3）采伐强度：采伐株数强度为15～20%，采伐蓄积强度10~12%，每亩采伐株数16～24株。</w:t>
            </w:r>
          </w:p>
          <w:p>
            <w:pPr>
              <w:pStyle w:val="null3"/>
            </w:pPr>
            <w:r>
              <w:rPr>
                <w:rFonts w:ascii="仿宋_GB2312" w:hAnsi="仿宋_GB2312" w:cs="仿宋_GB2312" w:eastAsia="仿宋_GB2312"/>
              </w:rPr>
              <w:t>4）修枝株数：31~34株/亩。</w:t>
            </w:r>
          </w:p>
          <w:p>
            <w:pPr>
              <w:pStyle w:val="null3"/>
            </w:pPr>
            <w:r>
              <w:rPr>
                <w:rFonts w:ascii="仿宋_GB2312" w:hAnsi="仿宋_GB2312" w:cs="仿宋_GB2312" w:eastAsia="仿宋_GB2312"/>
              </w:rPr>
              <w:t>5）割灌对象：割除影响目的树种幼树幼苗生长的杂灌杂草，割去除珍稀藤本外影响目标树的杂藤。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2. 透光伐+修枝+割灌</w:t>
            </w:r>
          </w:p>
          <w:p>
            <w:pPr>
              <w:pStyle w:val="null3"/>
            </w:pPr>
            <w:r>
              <w:rPr>
                <w:rFonts w:ascii="仿宋_GB2312" w:hAnsi="仿宋_GB2312" w:cs="仿宋_GB2312" w:eastAsia="仿宋_GB2312"/>
              </w:rPr>
              <w:t>1）培育树种：栓皮栎。</w:t>
            </w:r>
          </w:p>
          <w:p>
            <w:pPr>
              <w:pStyle w:val="null3"/>
            </w:pPr>
            <w:r>
              <w:rPr>
                <w:rFonts w:ascii="仿宋_GB2312" w:hAnsi="仿宋_GB2312" w:cs="仿宋_GB2312" w:eastAsia="仿宋_GB2312"/>
              </w:rPr>
              <w:t>2）林分特点：以栓皮栎为优势树种的幼龄林，林分郁闭度为0.80；林内透光条件差，林木生长空间不足，单株林木长势缓慢，作业区部分区域林分杂乱，林内杂灌杂草覆盖度高；林木平均胸径9.1—9.8，树高8.2—8.6米；林下灌木较多，有盐肤木、连翘、胡枝子、卫矛、山胡椒等，灌草盖度为28-32%。</w:t>
            </w:r>
          </w:p>
          <w:p>
            <w:pPr>
              <w:pStyle w:val="null3"/>
            </w:pPr>
            <w:r>
              <w:rPr>
                <w:rFonts w:ascii="仿宋_GB2312" w:hAnsi="仿宋_GB2312" w:cs="仿宋_GB2312" w:eastAsia="仿宋_GB2312"/>
              </w:rPr>
              <w:t>3）采伐强度：采伐株数强度为15～18%，采伐蓄积强度7~9%，每亩采伐株数16～22株。。</w:t>
            </w:r>
          </w:p>
          <w:p>
            <w:pPr>
              <w:pStyle w:val="null3"/>
            </w:pPr>
            <w:r>
              <w:rPr>
                <w:rFonts w:ascii="仿宋_GB2312" w:hAnsi="仿宋_GB2312" w:cs="仿宋_GB2312" w:eastAsia="仿宋_GB2312"/>
              </w:rPr>
              <w:t>4）修枝株数：29~34株/亩。</w:t>
            </w:r>
          </w:p>
          <w:p>
            <w:pPr>
              <w:pStyle w:val="null3"/>
            </w:pPr>
            <w:r>
              <w:rPr>
                <w:rFonts w:ascii="仿宋_GB2312" w:hAnsi="仿宋_GB2312" w:cs="仿宋_GB2312" w:eastAsia="仿宋_GB2312"/>
              </w:rPr>
              <w:t>5）割灌对象：割除影响目的树种幼树幼苗生长的杂灌杂草，割去除珍稀藤本外影响目标树种的杂藤。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3. 补植+修枝+割灌</w:t>
            </w:r>
          </w:p>
          <w:p>
            <w:pPr>
              <w:pStyle w:val="null3"/>
            </w:pPr>
            <w:r>
              <w:rPr>
                <w:rFonts w:ascii="仿宋_GB2312" w:hAnsi="仿宋_GB2312" w:cs="仿宋_GB2312" w:eastAsia="仿宋_GB2312"/>
              </w:rPr>
              <w:t>1）补植树种：七叶树。</w:t>
            </w:r>
          </w:p>
          <w:p>
            <w:pPr>
              <w:pStyle w:val="null3"/>
            </w:pPr>
            <w:r>
              <w:rPr>
                <w:rFonts w:ascii="仿宋_GB2312" w:hAnsi="仿宋_GB2312" w:cs="仿宋_GB2312" w:eastAsia="仿宋_GB2312"/>
              </w:rPr>
              <w:t>2）林分特点：以栓皮栎、马尾松为优势树种的中幼龄林，针阔混交，阔叶树占比较大，林分郁闭度为0.70；存在林窗与林间空地；林木平均胸径9.0—10.7厘米，平均树高8.3—9.4米之间；林下灌木较少，主要有卫矛、木槿、马桑、连翘等，灌草盖度为25-30%。</w:t>
            </w:r>
          </w:p>
          <w:p>
            <w:pPr>
              <w:pStyle w:val="null3"/>
            </w:pPr>
            <w:r>
              <w:rPr>
                <w:rFonts w:ascii="仿宋_GB2312" w:hAnsi="仿宋_GB2312" w:cs="仿宋_GB2312" w:eastAsia="仿宋_GB2312"/>
              </w:rPr>
              <w:t>3）整地方式：穴状整地，40×40×40cm。</w:t>
            </w:r>
          </w:p>
          <w:p>
            <w:pPr>
              <w:pStyle w:val="null3"/>
            </w:pPr>
            <w:r>
              <w:rPr>
                <w:rFonts w:ascii="仿宋_GB2312" w:hAnsi="仿宋_GB2312" w:cs="仿宋_GB2312" w:eastAsia="仿宋_GB2312"/>
              </w:rPr>
              <w:t>4）补植密度：20-25株/亩。</w:t>
            </w:r>
          </w:p>
          <w:p>
            <w:pPr>
              <w:pStyle w:val="null3"/>
            </w:pPr>
            <w:r>
              <w:rPr>
                <w:rFonts w:ascii="仿宋_GB2312" w:hAnsi="仿宋_GB2312" w:cs="仿宋_GB2312" w:eastAsia="仿宋_GB2312"/>
              </w:rPr>
              <w:t>5）修枝株数：31~35株/亩。</w:t>
            </w:r>
          </w:p>
          <w:p>
            <w:pPr>
              <w:pStyle w:val="null3"/>
            </w:pPr>
            <w:r>
              <w:rPr>
                <w:rFonts w:ascii="仿宋_GB2312" w:hAnsi="仿宋_GB2312" w:cs="仿宋_GB2312" w:eastAsia="仿宋_GB2312"/>
              </w:rPr>
              <w:t>6）割灌对象：割除影响目的树种幼树幼苗生长的杂灌杂草，割去除珍稀藤本外影响目标树种的杂藤。</w:t>
            </w:r>
          </w:p>
          <w:p>
            <w:pPr>
              <w:pStyle w:val="null3"/>
            </w:pPr>
            <w:r>
              <w:rPr>
                <w:rFonts w:ascii="仿宋_GB2312" w:hAnsi="仿宋_GB2312" w:cs="仿宋_GB2312" w:eastAsia="仿宋_GB2312"/>
              </w:rPr>
              <w:t>7）用工内容：林地清理、整地、栽植、管护、修枝、割灌。</w:t>
            </w:r>
          </w:p>
          <w:p>
            <w:pPr>
              <w:pStyle w:val="null3"/>
            </w:pPr>
            <w:r>
              <w:rPr>
                <w:rFonts w:ascii="仿宋_GB2312" w:hAnsi="仿宋_GB2312" w:cs="仿宋_GB2312" w:eastAsia="仿宋_GB2312"/>
                <w:sz w:val="21"/>
                <w:b/>
                <w:color w:val="000000"/>
              </w:rPr>
              <w:t>1.3抚育作业工序流程</w:t>
            </w:r>
          </w:p>
          <w:p>
            <w:pPr>
              <w:pStyle w:val="null3"/>
              <w:ind w:firstLine="480"/>
              <w:jc w:val="left"/>
            </w:pPr>
            <w:r>
              <w:rPr>
                <w:rFonts w:ascii="仿宋_GB2312" w:hAnsi="仿宋_GB2312" w:cs="仿宋_GB2312" w:eastAsia="仿宋_GB2312"/>
              </w:rPr>
              <w:t>中幼龄林抚育工序大致</w:t>
            </w:r>
            <w:r>
              <w:rPr>
                <w:rFonts w:ascii="仿宋_GB2312" w:hAnsi="仿宋_GB2312" w:cs="仿宋_GB2312" w:eastAsia="仿宋_GB2312"/>
              </w:rPr>
              <w:t>分</w:t>
            </w:r>
            <w:r>
              <w:rPr>
                <w:rFonts w:ascii="仿宋_GB2312" w:hAnsi="仿宋_GB2312" w:cs="仿宋_GB2312" w:eastAsia="仿宋_GB2312"/>
              </w:rPr>
              <w:t>为施工准备、施工阶段和施工验收三个阶段。</w:t>
            </w:r>
          </w:p>
          <w:p>
            <w:pPr>
              <w:pStyle w:val="null3"/>
            </w:pPr>
            <w:r>
              <w:rPr>
                <w:rFonts w:ascii="仿宋_GB2312" w:hAnsi="仿宋_GB2312" w:cs="仿宋_GB2312" w:eastAsia="仿宋_GB2312"/>
              </w:rPr>
              <w:t>（1）技术培训与现场管理</w:t>
            </w:r>
          </w:p>
          <w:p>
            <w:pPr>
              <w:pStyle w:val="null3"/>
            </w:pPr>
            <w:r>
              <w:rPr>
                <w:rFonts w:ascii="仿宋_GB2312" w:hAnsi="仿宋_GB2312" w:cs="仿宋_GB2312" w:eastAsia="仿宋_GB2312"/>
              </w:rPr>
              <w:t>由西乡县林业局组织对参与中幼龄林抚育的施工人员进行岗前培训，培训内容为任务目标及实施要求，中幼龄林抚育技术及操作要点，强调施工安全。</w:t>
            </w:r>
          </w:p>
          <w:p>
            <w:pPr>
              <w:pStyle w:val="null3"/>
            </w:pPr>
            <w:r>
              <w:rPr>
                <w:rFonts w:ascii="仿宋_GB2312" w:hAnsi="仿宋_GB2312" w:cs="仿宋_GB2312" w:eastAsia="仿宋_GB2312"/>
              </w:rPr>
              <w:t>施工期间“四员”和安全员必须在场，确保施工规范，安全施工，抚育作业按要求完成。</w:t>
            </w:r>
          </w:p>
          <w:p>
            <w:pPr>
              <w:pStyle w:val="null3"/>
            </w:pPr>
            <w:r>
              <w:rPr>
                <w:rFonts w:ascii="仿宋_GB2312" w:hAnsi="仿宋_GB2312" w:cs="仿宋_GB2312" w:eastAsia="仿宋_GB2312"/>
              </w:rPr>
              <w:t>（2）作业方式</w:t>
            </w:r>
          </w:p>
          <w:p>
            <w:pPr>
              <w:pStyle w:val="null3"/>
            </w:pPr>
            <w:r>
              <w:rPr>
                <w:rFonts w:ascii="仿宋_GB2312" w:hAnsi="仿宋_GB2312" w:cs="仿宋_GB2312" w:eastAsia="仿宋_GB2312"/>
              </w:rPr>
              <w:t>根据当地地形特点和资源状况，中幼龄林抚育疏伐、透光伐、修枝、割灌、补植等作业工序，均采用人力方式。</w:t>
            </w:r>
          </w:p>
          <w:p>
            <w:pPr>
              <w:pStyle w:val="null3"/>
            </w:pPr>
            <w:r>
              <w:rPr>
                <w:rFonts w:ascii="仿宋_GB2312" w:hAnsi="仿宋_GB2312" w:cs="仿宋_GB2312" w:eastAsia="仿宋_GB2312"/>
              </w:rPr>
              <w:t>①标界：在指定作业小班区域后，施工技术人员按照设计图纸沿周界采用打桩或用红漆在固定物标注等形式确定施工作业小班的周界。</w:t>
            </w:r>
          </w:p>
          <w:p>
            <w:pPr>
              <w:pStyle w:val="null3"/>
            </w:pPr>
            <w:r>
              <w:rPr>
                <w:rFonts w:ascii="仿宋_GB2312" w:hAnsi="仿宋_GB2312" w:cs="仿宋_GB2312" w:eastAsia="仿宋_GB2312"/>
              </w:rPr>
              <w:t>②打号：抚育作业前，打号员应根据作业设计，用红油漆对抚育木进行打号。</w:t>
            </w:r>
          </w:p>
          <w:p>
            <w:pPr>
              <w:pStyle w:val="null3"/>
            </w:pPr>
            <w:r>
              <w:rPr>
                <w:rFonts w:ascii="仿宋_GB2312" w:hAnsi="仿宋_GB2312" w:cs="仿宋_GB2312" w:eastAsia="仿宋_GB2312"/>
              </w:rPr>
              <w:t>③采伐：按照当地林木采伐限额管理制度，办理林木采伐许可证后方可施工。依据“砍劣留优、砍密留匀、分布均匀、疏密适度”的原则，在郁闭度≥0.80的乔木林中，疏伐优先采伐濒死木、枯死木以及生长落后、径级较小的劣势木、个别粗大的干形不良木以及影响目标树生长的干扰树，采伐株数强度按15%—20%，蓄积强度按10%—12%。采伐木顺序为：干扰树、（必要时）其他树；保留木顺序为：目标树、辅助树、其他树；透光伐优先采伐幼龄林阶段影响目的树种遮阴的林木，采伐株数强度按15%—18%，蓄积强度按7%—9%。采伐后，林分郁闭度不低于0.6，林木分布均匀，不造成林中空地和林窗。</w:t>
            </w:r>
          </w:p>
          <w:p>
            <w:pPr>
              <w:pStyle w:val="null3"/>
            </w:pPr>
            <w:r>
              <w:rPr>
                <w:rFonts w:ascii="仿宋_GB2312" w:hAnsi="仿宋_GB2312" w:cs="仿宋_GB2312" w:eastAsia="仿宋_GB2312"/>
              </w:rPr>
              <w:t>④补植</w:t>
            </w:r>
          </w:p>
          <w:p>
            <w:pPr>
              <w:pStyle w:val="null3"/>
            </w:pPr>
            <w:r>
              <w:rPr>
                <w:rFonts w:ascii="仿宋_GB2312" w:hAnsi="仿宋_GB2312" w:cs="仿宋_GB2312" w:eastAsia="仿宋_GB2312"/>
              </w:rPr>
              <w:t>a、补植对象</w:t>
            </w:r>
          </w:p>
          <w:p>
            <w:pPr>
              <w:pStyle w:val="null3"/>
            </w:pPr>
            <w:r>
              <w:rPr>
                <w:rFonts w:ascii="仿宋_GB2312" w:hAnsi="仿宋_GB2312" w:cs="仿宋_GB2312" w:eastAsia="仿宋_GB2312"/>
              </w:rPr>
              <w:t>主要在林中含有大于25平方米的林中空地，林窗较大区域补植。</w:t>
            </w:r>
          </w:p>
          <w:p>
            <w:pPr>
              <w:pStyle w:val="null3"/>
            </w:pPr>
            <w:r>
              <w:rPr>
                <w:rFonts w:ascii="仿宋_GB2312" w:hAnsi="仿宋_GB2312" w:cs="仿宋_GB2312" w:eastAsia="仿宋_GB2312"/>
              </w:rPr>
              <w:t>b、补植树种及密度</w:t>
            </w:r>
          </w:p>
          <w:p>
            <w:pPr>
              <w:pStyle w:val="null3"/>
            </w:pPr>
            <w:r>
              <w:rPr>
                <w:rFonts w:ascii="仿宋_GB2312" w:hAnsi="仿宋_GB2312" w:cs="仿宋_GB2312" w:eastAsia="仿宋_GB2312"/>
              </w:rPr>
              <w:t>根据现地调查，确定补植树种为七叶树。选用H≥200cm，胸径≥2.0cm的土球苗（土球规格≥18㎝），苗木等级为“I”苗木，补植密度20-25株/亩，GGR用量1克/亩。</w:t>
            </w:r>
          </w:p>
          <w:p>
            <w:pPr>
              <w:pStyle w:val="null3"/>
            </w:pPr>
            <w:r>
              <w:rPr>
                <w:rFonts w:ascii="仿宋_GB2312" w:hAnsi="仿宋_GB2312" w:cs="仿宋_GB2312" w:eastAsia="仿宋_GB2312"/>
              </w:rPr>
              <w:t>c、林地清理</w:t>
            </w:r>
          </w:p>
          <w:p>
            <w:pPr>
              <w:pStyle w:val="null3"/>
            </w:pPr>
            <w:r>
              <w:rPr>
                <w:rFonts w:ascii="仿宋_GB2312" w:hAnsi="仿宋_GB2312" w:cs="仿宋_GB2312" w:eastAsia="仿宋_GB2312"/>
              </w:rPr>
              <w:t>补植同造林一样，采用局部清理方式，对栽植点1米范围内影响幼苗生长的植被进行清理，清理时应尽量减少对地表原有幼树幼苗和林地土壤的破坏。</w:t>
            </w:r>
          </w:p>
          <w:p>
            <w:pPr>
              <w:pStyle w:val="null3"/>
            </w:pPr>
            <w:r>
              <w:rPr>
                <w:rFonts w:ascii="仿宋_GB2312" w:hAnsi="仿宋_GB2312" w:cs="仿宋_GB2312" w:eastAsia="仿宋_GB2312"/>
              </w:rPr>
              <w:t>d、整地</w:t>
            </w:r>
          </w:p>
          <w:p>
            <w:pPr>
              <w:pStyle w:val="null3"/>
            </w:pPr>
            <w:r>
              <w:rPr>
                <w:rFonts w:ascii="仿宋_GB2312" w:hAnsi="仿宋_GB2312" w:cs="仿宋_GB2312" w:eastAsia="仿宋_GB2312"/>
              </w:rPr>
              <w:t>整地同造林一样，应遵循因地制宜的原则，以蓄水保土为目的。整地方式采用穴状整地，整地规格为40×40×40厘米。根据项目区自然条件和多年造林经验，整地时间应在造林前1个季度进行。</w:t>
            </w:r>
          </w:p>
          <w:p>
            <w:pPr>
              <w:pStyle w:val="null3"/>
            </w:pPr>
            <w:r>
              <w:rPr>
                <w:rFonts w:ascii="仿宋_GB2312" w:hAnsi="仿宋_GB2312" w:cs="仿宋_GB2312" w:eastAsia="仿宋_GB2312"/>
              </w:rPr>
              <w:t>e、栽植</w:t>
            </w:r>
          </w:p>
          <w:p>
            <w:pPr>
              <w:pStyle w:val="null3"/>
            </w:pPr>
            <w:r>
              <w:rPr>
                <w:rFonts w:ascii="仿宋_GB2312" w:hAnsi="仿宋_GB2312" w:cs="仿宋_GB2312" w:eastAsia="仿宋_GB2312"/>
              </w:rPr>
              <w:t>同造林时间，可选择秋季或春季。秋季造林时间从秋末开始，至土壤封冻前停止，在10月中旬至11月下旬进行，春季造林时间宜在3月中旬至萌芽前进行。</w:t>
            </w:r>
          </w:p>
          <w:p>
            <w:pPr>
              <w:pStyle w:val="null3"/>
            </w:pPr>
            <w:r>
              <w:rPr>
                <w:rFonts w:ascii="仿宋_GB2312" w:hAnsi="仿宋_GB2312" w:cs="仿宋_GB2312" w:eastAsia="仿宋_GB2312"/>
              </w:rPr>
              <w:t>栽植前先在穴底回填表土，垫至离地面10—20厘米处为止，再将心土与表土混合均匀填入坑内，最后将心土覆盖其上，直至将坑穴填满。可采用GGR蘸根措施，以提高造林成活率。栽植技术要领：扶正、栽直、分层填土、轻提苗木、分层压实，使苗木根系与土壤接触密实。</w:t>
            </w:r>
          </w:p>
          <w:p>
            <w:pPr>
              <w:pStyle w:val="null3"/>
            </w:pPr>
            <w:r>
              <w:rPr>
                <w:rFonts w:ascii="仿宋_GB2312" w:hAnsi="仿宋_GB2312" w:cs="仿宋_GB2312" w:eastAsia="仿宋_GB2312"/>
              </w:rPr>
              <w:t>f、其他</w:t>
            </w:r>
          </w:p>
          <w:p>
            <w:pPr>
              <w:pStyle w:val="null3"/>
            </w:pPr>
            <w:r>
              <w:rPr>
                <w:rFonts w:ascii="仿宋_GB2312" w:hAnsi="仿宋_GB2312" w:cs="仿宋_GB2312" w:eastAsia="仿宋_GB2312"/>
              </w:rPr>
              <w:t>补植当年成活率应达85%，补植过程中不损害林分中原有的幼苗幼树，补植整地方式尽量减少开挖面，减少对土壤的扰动，减少对地被物的破坏。</w:t>
            </w:r>
          </w:p>
          <w:p>
            <w:pPr>
              <w:pStyle w:val="null3"/>
            </w:pPr>
            <w:r>
              <w:rPr>
                <w:rFonts w:ascii="仿宋_GB2312" w:hAnsi="仿宋_GB2312" w:cs="仿宋_GB2312" w:eastAsia="仿宋_GB2312"/>
              </w:rPr>
              <w:t>⑤修枝：主要除去林木枯死枝、枯稍、林下轮生枝，一般修去树冠下部衰老的1轮—2轮活枝，阔叶树采用平切法、针叶树采用留桩法进行修枝。幼龄林阶段修枝后保留冠长不低于树高的2/3，中龄林阶段修枝后保留冠长不低于树高的1/2。枝桩修平，剪口不能伤害树干的韧皮部和木质部。采用留桩法进行修枝时，留1—3厘米的残桩，以免切口相连造成环状剥皮。采用平切法修枝时应紧贴枝条基部，不留茬。避免在雨季修枝，以免伤口不易愈合而感染病害，形成疤痕。树木二分叉，主干竞争枝，要坚决修掉。</w:t>
            </w:r>
          </w:p>
          <w:p>
            <w:pPr>
              <w:pStyle w:val="null3"/>
            </w:pPr>
            <w:r>
              <w:rPr>
                <w:rFonts w:ascii="仿宋_GB2312" w:hAnsi="仿宋_GB2312" w:cs="仿宋_GB2312" w:eastAsia="仿宋_GB2312"/>
              </w:rPr>
              <w:t>⑥割灌：利用镰刀、手锯等工具，割除影响目的树种幼苗幼树生长的，或目的树种幼苗幼树周围1米以内的杂灌和缠绕目标树种的藤蔓，提倡围绕目的树种幼苗幼树进行局部割灌，避免全面割灌，割灌时贴近地面切割，留茬高度不宜高于5厘米，对于大藤蔓，只需从根部断开，无需强行清理。</w:t>
            </w:r>
          </w:p>
          <w:p>
            <w:pPr>
              <w:pStyle w:val="null3"/>
            </w:pPr>
            <w:r>
              <w:rPr>
                <w:rFonts w:ascii="仿宋_GB2312" w:hAnsi="仿宋_GB2312" w:cs="仿宋_GB2312" w:eastAsia="仿宋_GB2312"/>
              </w:rPr>
              <w:t>⑦采伐剩余物处理：针对交通条件便利、立地条件较好的区域，将作业过程中产生的剩余物就地截短平铺在林内或按一定间距均匀堆放在林内，不能覆盖压埋幼树幼苗，不能影响保留木的生长；针对坡度陡、立地条件差的区域，可在目标树根部做反坡向的水肥坑并将采伐剩余物适当切碎埋于坑内。</w:t>
            </w:r>
          </w:p>
          <w:p>
            <w:pPr>
              <w:pStyle w:val="null3"/>
              <w:spacing w:before="45" w:after="45"/>
              <w:jc w:val="left"/>
            </w:pPr>
            <w:r>
              <w:rPr>
                <w:rFonts w:ascii="仿宋_GB2312" w:hAnsi="仿宋_GB2312" w:cs="仿宋_GB2312" w:eastAsia="仿宋_GB2312"/>
                <w:sz w:val="21"/>
                <w:b/>
                <w:color w:val="000000"/>
              </w:rPr>
              <w:t>1.4苗木标准</w:t>
            </w:r>
          </w:p>
          <w:p>
            <w:pPr>
              <w:pStyle w:val="null3"/>
              <w:spacing w:before="45" w:after="45"/>
              <w:ind w:firstLine="480"/>
              <w:jc w:val="left"/>
            </w:pPr>
            <w:r>
              <w:rPr>
                <w:rFonts w:ascii="仿宋_GB2312" w:hAnsi="仿宋_GB2312" w:cs="仿宋_GB2312" w:eastAsia="仿宋_GB2312"/>
              </w:rPr>
              <w:t>补植所用苗木全部采用由林木种苗管理部门组织供应或经其检验的具有“两证一签”（检疫合格证、检验合格证、标签）的I级苗木，优先使用当地苗木。苗木检验中要严格把关，选用植株健壮、苗干通直圆满、木质化程度高、根系发达而完整、具有完整饱满的顶芽、无机械损伤、无病虫害、不失水、有旺盛生命力的优质苗木。</w:t>
            </w:r>
          </w:p>
          <w:p>
            <w:pPr>
              <w:pStyle w:val="null3"/>
              <w:jc w:val="left"/>
            </w:pPr>
            <w:r>
              <w:rPr>
                <w:rFonts w:ascii="仿宋_GB2312" w:hAnsi="仿宋_GB2312" w:cs="仿宋_GB2312" w:eastAsia="仿宋_GB2312"/>
                <w:sz w:val="24"/>
                <w:color w:val="000000"/>
              </w:rPr>
              <w:t>附表：</w:t>
            </w:r>
          </w:p>
          <w:p>
            <w:pPr>
              <w:pStyle w:val="null3"/>
              <w:jc w:val="center"/>
            </w:pPr>
            <w:r>
              <w:rPr>
                <w:rFonts w:ascii="仿宋_GB2312" w:hAnsi="仿宋_GB2312" w:cs="仿宋_GB2312" w:eastAsia="仿宋_GB2312"/>
                <w:sz w:val="24"/>
                <w:b/>
                <w:color w:val="000000"/>
              </w:rPr>
              <w:t>中幼龄林抚育作业量汇总表</w:t>
            </w:r>
          </w:p>
          <w:tbl>
            <w:tblPr>
              <w:tblBorders>
                <w:top w:val="none" w:color="000000" w:sz="4"/>
                <w:left w:val="none" w:color="000000" w:sz="4"/>
                <w:bottom w:val="none" w:color="000000" w:sz="4"/>
                <w:right w:val="none" w:color="000000" w:sz="4"/>
                <w:insideH w:val="none"/>
                <w:insideV w:val="none"/>
              </w:tblBorders>
            </w:tblPr>
            <w:tblGrid>
              <w:gridCol w:w="103"/>
              <w:gridCol w:w="166"/>
              <w:gridCol w:w="136"/>
              <w:gridCol w:w="131"/>
              <w:gridCol w:w="245"/>
              <w:gridCol w:w="175"/>
              <w:gridCol w:w="189"/>
              <w:gridCol w:w="119"/>
              <w:gridCol w:w="189"/>
              <w:gridCol w:w="150"/>
              <w:gridCol w:w="189"/>
              <w:gridCol w:w="136"/>
              <w:gridCol w:w="136"/>
              <w:gridCol w:w="136"/>
              <w:gridCol w:w="162"/>
              <w:gridCol w:w="189"/>
            </w:tblGrid>
            <w:tr>
              <w:tc>
                <w:tcPr>
                  <w:tcW w:type="dxa" w:w="1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小班</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作业面积</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亩</w:t>
                  </w:r>
                  <w:r>
                    <w:rPr>
                      <w:rFonts w:ascii="仿宋_GB2312" w:hAnsi="仿宋_GB2312" w:cs="仿宋_GB2312" w:eastAsia="仿宋_GB2312"/>
                      <w:sz w:val="18"/>
                      <w:b/>
                      <w:color w:val="000000"/>
                    </w:rPr>
                    <w:t>)</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龄组</w:t>
                  </w:r>
                </w:p>
              </w:tc>
              <w:tc>
                <w:tcPr>
                  <w:tcW w:type="dxa" w:w="1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抚育方式</w:t>
                  </w:r>
                </w:p>
              </w:tc>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抚育方法</w:t>
                  </w:r>
                </w:p>
              </w:tc>
              <w:tc>
                <w:tcPr>
                  <w:tcW w:type="dxa" w:w="1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培育树种</w:t>
                  </w:r>
                </w:p>
              </w:tc>
              <w:tc>
                <w:tcPr>
                  <w:tcW w:type="dxa" w:w="4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补植作业</w:t>
                  </w:r>
                </w:p>
              </w:tc>
              <w:tc>
                <w:tcPr>
                  <w:tcW w:type="dxa" w:w="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修枝株数（株</w:t>
                  </w:r>
                  <w:r>
                    <w:rPr>
                      <w:rFonts w:ascii="仿宋_GB2312" w:hAnsi="仿宋_GB2312" w:cs="仿宋_GB2312" w:eastAsia="仿宋_GB2312"/>
                      <w:sz w:val="18"/>
                      <w:b/>
                      <w:color w:val="000000"/>
                    </w:rPr>
                    <w:t>/亩）</w:t>
                  </w:r>
                </w:p>
              </w:tc>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总修枝株数（株）</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割灌强度</w:t>
                  </w:r>
                </w:p>
              </w:tc>
              <w:tc>
                <w:tcPr>
                  <w:tcW w:type="dxa" w:w="623"/>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抚育间伐作业</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面积（亩）</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树种</w:t>
                  </w: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株数（株）</w:t>
                  </w: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采伐强度</w:t>
                  </w:r>
                </w:p>
              </w:tc>
              <w:tc>
                <w:tcPr>
                  <w:tcW w:type="dxa" w:w="35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采伐量</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株数强度</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蓄积强度</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每亩采伐株数（株</w:t>
                  </w:r>
                  <w:r>
                    <w:rPr>
                      <w:rFonts w:ascii="仿宋_GB2312" w:hAnsi="仿宋_GB2312" w:cs="仿宋_GB2312" w:eastAsia="仿宋_GB2312"/>
                      <w:sz w:val="18"/>
                      <w:b/>
                      <w:color w:val="000000"/>
                    </w:rPr>
                    <w:t>/亩）</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采伐株数</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株</w:t>
                  </w:r>
                  <w:r>
                    <w:rPr>
                      <w:rFonts w:ascii="仿宋_GB2312" w:hAnsi="仿宋_GB2312" w:cs="仿宋_GB2312" w:eastAsia="仿宋_GB2312"/>
                      <w:sz w:val="18"/>
                      <w:b/>
                      <w:color w:val="000000"/>
                    </w:rPr>
                    <w:t>)</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10431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2825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332989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162819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4525</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4734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8698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4639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3172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3610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5292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3366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3532</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标的名称：中幼龄林抚育2640亩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1.1抚育范围及对象</w:t>
            </w:r>
          </w:p>
          <w:p>
            <w:pPr>
              <w:pStyle w:val="null3"/>
              <w:jc w:val="left"/>
            </w:pPr>
            <w:r>
              <w:rPr>
                <w:rFonts w:ascii="仿宋_GB2312" w:hAnsi="仿宋_GB2312" w:cs="仿宋_GB2312" w:eastAsia="仿宋_GB2312"/>
              </w:rPr>
              <w:t>作业区位于西乡县骆家坝镇张家坝村，4-9,45-53,58号小班，共16个小班，作业面积2640亩（详见中幼龄林抚育作业量汇总表）。项目区所属地类均为乔木林地，龄组为中幼龄林，优势树种主要以栎类、马尾松、板栗为主，作业区部分小班内林冠下杂灌从生，幼树生长受灌草压制，灌木盖度达到15%-35%，藤本交错缠绕，枝条密集、交叉重叠，结构简单，林分稳定性、抗逆能力较差，部分区域存在林窗和林中空地。</w:t>
            </w:r>
          </w:p>
          <w:p>
            <w:pPr>
              <w:pStyle w:val="null3"/>
              <w:jc w:val="left"/>
            </w:pPr>
            <w:r>
              <w:rPr>
                <w:rFonts w:ascii="仿宋_GB2312" w:hAnsi="仿宋_GB2312" w:cs="仿宋_GB2312" w:eastAsia="仿宋_GB2312"/>
                <w:sz w:val="21"/>
                <w:b/>
                <w:color w:val="000000"/>
              </w:rPr>
              <w:t>1.2抚育方式</w:t>
            </w:r>
          </w:p>
          <w:p>
            <w:pPr>
              <w:pStyle w:val="null3"/>
              <w:jc w:val="left"/>
            </w:pPr>
            <w:r>
              <w:rPr>
                <w:rFonts w:ascii="仿宋_GB2312" w:hAnsi="仿宋_GB2312" w:cs="仿宋_GB2312" w:eastAsia="仿宋_GB2312"/>
              </w:rPr>
              <w:t>1. 疏伐+修枝+割灌</w:t>
            </w:r>
          </w:p>
          <w:p>
            <w:pPr>
              <w:pStyle w:val="null3"/>
            </w:pPr>
            <w:r>
              <w:rPr>
                <w:rFonts w:ascii="仿宋_GB2312" w:hAnsi="仿宋_GB2312" w:cs="仿宋_GB2312" w:eastAsia="仿宋_GB2312"/>
              </w:rPr>
              <w:t>1）培育树种：栓皮栎、马尾松、板栗。</w:t>
            </w:r>
          </w:p>
          <w:p>
            <w:pPr>
              <w:pStyle w:val="null3"/>
            </w:pPr>
            <w:r>
              <w:rPr>
                <w:rFonts w:ascii="仿宋_GB2312" w:hAnsi="仿宋_GB2312" w:cs="仿宋_GB2312" w:eastAsia="仿宋_GB2312"/>
              </w:rPr>
              <w:t>2）林分特点：以栓皮栎、马尾松、板栗为优势树种，林分郁闭度为0.80~0.85之间；林分密度较大、林内杂乱，劣势木较多；林木平均胸径9.3—10.9，树高8.4—9.5米；林下灌木较多，有马桑、盐肤木、连翘、胡枝子、卫矛、山胡椒等，灌草盖度为30-35%。</w:t>
            </w:r>
          </w:p>
          <w:p>
            <w:pPr>
              <w:pStyle w:val="null3"/>
            </w:pPr>
            <w:r>
              <w:rPr>
                <w:rFonts w:ascii="仿宋_GB2312" w:hAnsi="仿宋_GB2312" w:cs="仿宋_GB2312" w:eastAsia="仿宋_GB2312"/>
              </w:rPr>
              <w:t>3）采伐强度：采伐株数强度为15～20%，采伐蓄积强度10~12%，每亩采伐株数16～24株。</w:t>
            </w:r>
          </w:p>
          <w:p>
            <w:pPr>
              <w:pStyle w:val="null3"/>
            </w:pPr>
            <w:r>
              <w:rPr>
                <w:rFonts w:ascii="仿宋_GB2312" w:hAnsi="仿宋_GB2312" w:cs="仿宋_GB2312" w:eastAsia="仿宋_GB2312"/>
              </w:rPr>
              <w:t>4）修枝株数：31~34株/亩。</w:t>
            </w:r>
          </w:p>
          <w:p>
            <w:pPr>
              <w:pStyle w:val="null3"/>
            </w:pPr>
            <w:r>
              <w:rPr>
                <w:rFonts w:ascii="仿宋_GB2312" w:hAnsi="仿宋_GB2312" w:cs="仿宋_GB2312" w:eastAsia="仿宋_GB2312"/>
              </w:rPr>
              <w:t>5）割灌对象：割除影响目的树种幼树幼苗生长的杂灌杂草，割去除珍稀藤本外影响目标树的杂藤。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2. 透光伐+修枝+割灌</w:t>
            </w:r>
          </w:p>
          <w:p>
            <w:pPr>
              <w:pStyle w:val="null3"/>
            </w:pPr>
            <w:r>
              <w:rPr>
                <w:rFonts w:ascii="仿宋_GB2312" w:hAnsi="仿宋_GB2312" w:cs="仿宋_GB2312" w:eastAsia="仿宋_GB2312"/>
              </w:rPr>
              <w:t>1）培育树种：栓皮栎。</w:t>
            </w:r>
          </w:p>
          <w:p>
            <w:pPr>
              <w:pStyle w:val="null3"/>
            </w:pPr>
            <w:r>
              <w:rPr>
                <w:rFonts w:ascii="仿宋_GB2312" w:hAnsi="仿宋_GB2312" w:cs="仿宋_GB2312" w:eastAsia="仿宋_GB2312"/>
              </w:rPr>
              <w:t>2）林分特点：以栓皮栎为优势树种的幼龄林，林分郁闭度为0.80；林内透光条件差，林木生长空间不足，单株林木长势缓慢，作业区部分区域林分杂乱，林内杂灌杂草覆盖度高；林木平均胸径9.1—9.8，树高8.2—8.6米；林下灌木较多，有盐肤木、连翘、胡枝子、卫矛、山胡椒等，灌草盖度为28-32%。</w:t>
            </w:r>
          </w:p>
          <w:p>
            <w:pPr>
              <w:pStyle w:val="null3"/>
            </w:pPr>
            <w:r>
              <w:rPr>
                <w:rFonts w:ascii="仿宋_GB2312" w:hAnsi="仿宋_GB2312" w:cs="仿宋_GB2312" w:eastAsia="仿宋_GB2312"/>
              </w:rPr>
              <w:t>3）采伐强度：采伐株数强度为15～18%，采伐蓄积强度7~9%，每亩采伐株数16～22株。。</w:t>
            </w:r>
          </w:p>
          <w:p>
            <w:pPr>
              <w:pStyle w:val="null3"/>
            </w:pPr>
            <w:r>
              <w:rPr>
                <w:rFonts w:ascii="仿宋_GB2312" w:hAnsi="仿宋_GB2312" w:cs="仿宋_GB2312" w:eastAsia="仿宋_GB2312"/>
              </w:rPr>
              <w:t>4）修枝株数：29~34株/亩。</w:t>
            </w:r>
          </w:p>
          <w:p>
            <w:pPr>
              <w:pStyle w:val="null3"/>
            </w:pPr>
            <w:r>
              <w:rPr>
                <w:rFonts w:ascii="仿宋_GB2312" w:hAnsi="仿宋_GB2312" w:cs="仿宋_GB2312" w:eastAsia="仿宋_GB2312"/>
              </w:rPr>
              <w:t>5）割灌对象：割除影响目的树种幼树幼苗生长的杂灌杂草，割去除珍稀藤本外影响目标树种的杂藤。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3. 补植+修枝+割灌</w:t>
            </w:r>
          </w:p>
          <w:p>
            <w:pPr>
              <w:pStyle w:val="null3"/>
            </w:pPr>
            <w:r>
              <w:rPr>
                <w:rFonts w:ascii="仿宋_GB2312" w:hAnsi="仿宋_GB2312" w:cs="仿宋_GB2312" w:eastAsia="仿宋_GB2312"/>
              </w:rPr>
              <w:t>1）补植树种：七叶树。</w:t>
            </w:r>
          </w:p>
          <w:p>
            <w:pPr>
              <w:pStyle w:val="null3"/>
            </w:pPr>
            <w:r>
              <w:rPr>
                <w:rFonts w:ascii="仿宋_GB2312" w:hAnsi="仿宋_GB2312" w:cs="仿宋_GB2312" w:eastAsia="仿宋_GB2312"/>
              </w:rPr>
              <w:t>2）林分特点：以栓皮栎、马尾松为优势树种的中幼龄林，针阔混交，阔叶树占比较大，林分郁闭度为0.70；存在林窗与林间空地；林木平均胸径9.0—10.7厘米，平均树高8.3—9.4米之间；林下灌木较少，主要有卫矛、木槿、马桑、连翘等，灌草盖度为25-30%。</w:t>
            </w:r>
          </w:p>
          <w:p>
            <w:pPr>
              <w:pStyle w:val="null3"/>
            </w:pPr>
            <w:r>
              <w:rPr>
                <w:rFonts w:ascii="仿宋_GB2312" w:hAnsi="仿宋_GB2312" w:cs="仿宋_GB2312" w:eastAsia="仿宋_GB2312"/>
              </w:rPr>
              <w:t>3）整地方式：穴状整地，40×40×40cm。</w:t>
            </w:r>
          </w:p>
          <w:p>
            <w:pPr>
              <w:pStyle w:val="null3"/>
            </w:pPr>
            <w:r>
              <w:rPr>
                <w:rFonts w:ascii="仿宋_GB2312" w:hAnsi="仿宋_GB2312" w:cs="仿宋_GB2312" w:eastAsia="仿宋_GB2312"/>
              </w:rPr>
              <w:t>4）补植密度：20-25株/亩。</w:t>
            </w:r>
          </w:p>
          <w:p>
            <w:pPr>
              <w:pStyle w:val="null3"/>
            </w:pPr>
            <w:r>
              <w:rPr>
                <w:rFonts w:ascii="仿宋_GB2312" w:hAnsi="仿宋_GB2312" w:cs="仿宋_GB2312" w:eastAsia="仿宋_GB2312"/>
              </w:rPr>
              <w:t>5）修枝株数：31~35株/亩。</w:t>
            </w:r>
          </w:p>
          <w:p>
            <w:pPr>
              <w:pStyle w:val="null3"/>
            </w:pPr>
            <w:r>
              <w:rPr>
                <w:rFonts w:ascii="仿宋_GB2312" w:hAnsi="仿宋_GB2312" w:cs="仿宋_GB2312" w:eastAsia="仿宋_GB2312"/>
              </w:rPr>
              <w:t>6）割灌对象：割除影响目的树种幼树幼苗生长的杂灌杂草，割去除珍稀藤本外影响目标树种的杂藤。</w:t>
            </w:r>
          </w:p>
          <w:p>
            <w:pPr>
              <w:pStyle w:val="null3"/>
            </w:pPr>
            <w:r>
              <w:rPr>
                <w:rFonts w:ascii="仿宋_GB2312" w:hAnsi="仿宋_GB2312" w:cs="仿宋_GB2312" w:eastAsia="仿宋_GB2312"/>
              </w:rPr>
              <w:t>7）用工内容：林地清理、整地、栽植、管护、修枝、割灌。</w:t>
            </w:r>
          </w:p>
          <w:p>
            <w:pPr>
              <w:pStyle w:val="null3"/>
            </w:pPr>
            <w:r>
              <w:rPr>
                <w:rFonts w:ascii="仿宋_GB2312" w:hAnsi="仿宋_GB2312" w:cs="仿宋_GB2312" w:eastAsia="仿宋_GB2312"/>
                <w:sz w:val="21"/>
                <w:b/>
                <w:color w:val="000000"/>
              </w:rPr>
              <w:t>1.3抚育作业工序流程</w:t>
            </w:r>
          </w:p>
          <w:p>
            <w:pPr>
              <w:pStyle w:val="null3"/>
              <w:ind w:firstLine="480"/>
              <w:jc w:val="left"/>
            </w:pPr>
            <w:r>
              <w:rPr>
                <w:rFonts w:ascii="仿宋_GB2312" w:hAnsi="仿宋_GB2312" w:cs="仿宋_GB2312" w:eastAsia="仿宋_GB2312"/>
              </w:rPr>
              <w:t>中幼龄林抚育工序大致分为施工准备、施工阶段和施工验收三个阶段。</w:t>
            </w:r>
          </w:p>
          <w:p>
            <w:pPr>
              <w:pStyle w:val="null3"/>
            </w:pPr>
            <w:r>
              <w:rPr>
                <w:rFonts w:ascii="仿宋_GB2312" w:hAnsi="仿宋_GB2312" w:cs="仿宋_GB2312" w:eastAsia="仿宋_GB2312"/>
              </w:rPr>
              <w:t>（1）技术培训与现场管理</w:t>
            </w:r>
          </w:p>
          <w:p>
            <w:pPr>
              <w:pStyle w:val="null3"/>
            </w:pPr>
            <w:r>
              <w:rPr>
                <w:rFonts w:ascii="仿宋_GB2312" w:hAnsi="仿宋_GB2312" w:cs="仿宋_GB2312" w:eastAsia="仿宋_GB2312"/>
              </w:rPr>
              <w:t>由西乡县林业局组织对参与中幼龄林抚育的施工人员进行岗前培训，培训内容为任务目标及实施要求，中幼龄林抚育技术及操作要点，强调施工安全。</w:t>
            </w:r>
          </w:p>
          <w:p>
            <w:pPr>
              <w:pStyle w:val="null3"/>
            </w:pPr>
            <w:r>
              <w:rPr>
                <w:rFonts w:ascii="仿宋_GB2312" w:hAnsi="仿宋_GB2312" w:cs="仿宋_GB2312" w:eastAsia="仿宋_GB2312"/>
              </w:rPr>
              <w:t>施工期间“四员”和安全员必须在场，确保施工规范，安全施工，抚育作业按要求完成。</w:t>
            </w:r>
          </w:p>
          <w:p>
            <w:pPr>
              <w:pStyle w:val="null3"/>
            </w:pPr>
            <w:r>
              <w:rPr>
                <w:rFonts w:ascii="仿宋_GB2312" w:hAnsi="仿宋_GB2312" w:cs="仿宋_GB2312" w:eastAsia="仿宋_GB2312"/>
              </w:rPr>
              <w:t>（2）作业方式</w:t>
            </w:r>
          </w:p>
          <w:p>
            <w:pPr>
              <w:pStyle w:val="null3"/>
            </w:pPr>
            <w:r>
              <w:rPr>
                <w:rFonts w:ascii="仿宋_GB2312" w:hAnsi="仿宋_GB2312" w:cs="仿宋_GB2312" w:eastAsia="仿宋_GB2312"/>
              </w:rPr>
              <w:t>根据当地地形特点和资源状况，中幼龄林抚育疏伐、透光伐、修枝、割灌、补植等作业工序，均采用人力方式。</w:t>
            </w:r>
          </w:p>
          <w:p>
            <w:pPr>
              <w:pStyle w:val="null3"/>
            </w:pPr>
            <w:r>
              <w:rPr>
                <w:rFonts w:ascii="仿宋_GB2312" w:hAnsi="仿宋_GB2312" w:cs="仿宋_GB2312" w:eastAsia="仿宋_GB2312"/>
              </w:rPr>
              <w:t>①标界：在指定作业小班区域后，施工技术人员按照设计图纸沿周界采用打桩或用红漆在固定物标注等形式确定施工作业小班的周界。</w:t>
            </w:r>
          </w:p>
          <w:p>
            <w:pPr>
              <w:pStyle w:val="null3"/>
            </w:pPr>
            <w:r>
              <w:rPr>
                <w:rFonts w:ascii="仿宋_GB2312" w:hAnsi="仿宋_GB2312" w:cs="仿宋_GB2312" w:eastAsia="仿宋_GB2312"/>
              </w:rPr>
              <w:t>②打号：抚育作业前，打号员应根据作业设计，用红油漆对抚育木进行打号。</w:t>
            </w:r>
          </w:p>
          <w:p>
            <w:pPr>
              <w:pStyle w:val="null3"/>
            </w:pPr>
            <w:r>
              <w:rPr>
                <w:rFonts w:ascii="仿宋_GB2312" w:hAnsi="仿宋_GB2312" w:cs="仿宋_GB2312" w:eastAsia="仿宋_GB2312"/>
              </w:rPr>
              <w:t>③采伐：按照当地林木采伐限额管理制度，办理林木采伐许可证后方可施工。依据“砍劣留优、砍密留匀、分布均匀、疏密适度”的原则，在郁闭度≥0.80的乔木林中，疏伐优先采伐濒死木、枯死木以及生长落后、径级较小的劣势木、个别粗大的干形不良木以及影响目标树生长的干扰树，采伐株数强度按15%—20%，蓄积强度按10%—12%。采伐木顺序为：干扰树、（必要时）其他树；保留木顺序为：目标树、辅助树、其他树；透光伐优先采伐幼龄林阶段影响目的树种遮阴的林木，采伐株数强度按15%—18%，蓄积强度按7%—9%。采伐后，林分郁闭度不低于0.6，林木分布均匀，不造成林中空地和林窗。</w:t>
            </w:r>
          </w:p>
          <w:p>
            <w:pPr>
              <w:pStyle w:val="null3"/>
            </w:pPr>
            <w:r>
              <w:rPr>
                <w:rFonts w:ascii="仿宋_GB2312" w:hAnsi="仿宋_GB2312" w:cs="仿宋_GB2312" w:eastAsia="仿宋_GB2312"/>
              </w:rPr>
              <w:t>④补植</w:t>
            </w:r>
          </w:p>
          <w:p>
            <w:pPr>
              <w:pStyle w:val="null3"/>
            </w:pPr>
            <w:r>
              <w:rPr>
                <w:rFonts w:ascii="仿宋_GB2312" w:hAnsi="仿宋_GB2312" w:cs="仿宋_GB2312" w:eastAsia="仿宋_GB2312"/>
              </w:rPr>
              <w:t>a、补植对象</w:t>
            </w:r>
          </w:p>
          <w:p>
            <w:pPr>
              <w:pStyle w:val="null3"/>
            </w:pPr>
            <w:r>
              <w:rPr>
                <w:rFonts w:ascii="仿宋_GB2312" w:hAnsi="仿宋_GB2312" w:cs="仿宋_GB2312" w:eastAsia="仿宋_GB2312"/>
              </w:rPr>
              <w:t>主要在林中含有大于25平方米的林中空地，林窗较大区域补植。</w:t>
            </w:r>
          </w:p>
          <w:p>
            <w:pPr>
              <w:pStyle w:val="null3"/>
            </w:pPr>
            <w:r>
              <w:rPr>
                <w:rFonts w:ascii="仿宋_GB2312" w:hAnsi="仿宋_GB2312" w:cs="仿宋_GB2312" w:eastAsia="仿宋_GB2312"/>
              </w:rPr>
              <w:t>b、补植树种及密度</w:t>
            </w:r>
          </w:p>
          <w:p>
            <w:pPr>
              <w:pStyle w:val="null3"/>
            </w:pPr>
            <w:r>
              <w:rPr>
                <w:rFonts w:ascii="仿宋_GB2312" w:hAnsi="仿宋_GB2312" w:cs="仿宋_GB2312" w:eastAsia="仿宋_GB2312"/>
              </w:rPr>
              <w:t>根据现地调查，确定补植树种为七叶树。选用H≥200cm，胸径≥2.0cm的土球苗（土球规格≥18㎝），苗木等级为“I”苗木，补植密度20-25株/亩，GGR用量1克/亩。</w:t>
            </w:r>
          </w:p>
          <w:p>
            <w:pPr>
              <w:pStyle w:val="null3"/>
            </w:pPr>
            <w:r>
              <w:rPr>
                <w:rFonts w:ascii="仿宋_GB2312" w:hAnsi="仿宋_GB2312" w:cs="仿宋_GB2312" w:eastAsia="仿宋_GB2312"/>
              </w:rPr>
              <w:t>c、林地清理</w:t>
            </w:r>
          </w:p>
          <w:p>
            <w:pPr>
              <w:pStyle w:val="null3"/>
            </w:pPr>
            <w:r>
              <w:rPr>
                <w:rFonts w:ascii="仿宋_GB2312" w:hAnsi="仿宋_GB2312" w:cs="仿宋_GB2312" w:eastAsia="仿宋_GB2312"/>
              </w:rPr>
              <w:t>补植同造林一样，采用局部清理方式，对栽植点1米范围内影响幼苗生长的植被进行清理，清理时应尽量减少对地表原有幼树幼苗和林地土壤的破坏。</w:t>
            </w:r>
          </w:p>
          <w:p>
            <w:pPr>
              <w:pStyle w:val="null3"/>
            </w:pPr>
            <w:r>
              <w:rPr>
                <w:rFonts w:ascii="仿宋_GB2312" w:hAnsi="仿宋_GB2312" w:cs="仿宋_GB2312" w:eastAsia="仿宋_GB2312"/>
              </w:rPr>
              <w:t>d、整地</w:t>
            </w:r>
          </w:p>
          <w:p>
            <w:pPr>
              <w:pStyle w:val="null3"/>
            </w:pPr>
            <w:r>
              <w:rPr>
                <w:rFonts w:ascii="仿宋_GB2312" w:hAnsi="仿宋_GB2312" w:cs="仿宋_GB2312" w:eastAsia="仿宋_GB2312"/>
              </w:rPr>
              <w:t>整地同造林一样，应遵循因地制宜的原则，以蓄水保土为目的。整地方式采用穴状整地，整地规格为40×40×40厘米。根据项目区自然条件和多年造林经验，整地时间应在造林前1个季度进行。</w:t>
            </w:r>
          </w:p>
          <w:p>
            <w:pPr>
              <w:pStyle w:val="null3"/>
            </w:pPr>
            <w:r>
              <w:rPr>
                <w:rFonts w:ascii="仿宋_GB2312" w:hAnsi="仿宋_GB2312" w:cs="仿宋_GB2312" w:eastAsia="仿宋_GB2312"/>
              </w:rPr>
              <w:t>e、栽植</w:t>
            </w:r>
          </w:p>
          <w:p>
            <w:pPr>
              <w:pStyle w:val="null3"/>
            </w:pPr>
            <w:r>
              <w:rPr>
                <w:rFonts w:ascii="仿宋_GB2312" w:hAnsi="仿宋_GB2312" w:cs="仿宋_GB2312" w:eastAsia="仿宋_GB2312"/>
              </w:rPr>
              <w:t>同造林时间，可选择秋季或春季。秋季造林时间从秋末开始，至土壤封冻前停止，在10月中旬至11月下旬进行，春季造林时间宜在3月中旬至萌芽前进行。</w:t>
            </w:r>
          </w:p>
          <w:p>
            <w:pPr>
              <w:pStyle w:val="null3"/>
            </w:pPr>
            <w:r>
              <w:rPr>
                <w:rFonts w:ascii="仿宋_GB2312" w:hAnsi="仿宋_GB2312" w:cs="仿宋_GB2312" w:eastAsia="仿宋_GB2312"/>
              </w:rPr>
              <w:t>栽植前先在穴底回填表土，垫至离地面10—20厘米处为止，再将心土与表土混合均匀填入坑内，最后将心土覆盖其上，直至将坑穴填满。可采用GGR蘸根措施，以提高造林成活率。栽植技术要领：扶正、栽直、分层填土、轻提苗木、分层压实，使苗木根系与土壤接触密实。</w:t>
            </w:r>
          </w:p>
          <w:p>
            <w:pPr>
              <w:pStyle w:val="null3"/>
            </w:pPr>
            <w:r>
              <w:rPr>
                <w:rFonts w:ascii="仿宋_GB2312" w:hAnsi="仿宋_GB2312" w:cs="仿宋_GB2312" w:eastAsia="仿宋_GB2312"/>
              </w:rPr>
              <w:t>f、其他</w:t>
            </w:r>
          </w:p>
          <w:p>
            <w:pPr>
              <w:pStyle w:val="null3"/>
            </w:pPr>
            <w:r>
              <w:rPr>
                <w:rFonts w:ascii="仿宋_GB2312" w:hAnsi="仿宋_GB2312" w:cs="仿宋_GB2312" w:eastAsia="仿宋_GB2312"/>
              </w:rPr>
              <w:t>补植当年成活率应达85%，补植过程中不损害林分中原有的幼苗幼树，补植整地方式尽量减少开挖面，减少对土壤的扰动，减少对地被物的破坏。</w:t>
            </w:r>
          </w:p>
          <w:p>
            <w:pPr>
              <w:pStyle w:val="null3"/>
            </w:pPr>
            <w:r>
              <w:rPr>
                <w:rFonts w:ascii="仿宋_GB2312" w:hAnsi="仿宋_GB2312" w:cs="仿宋_GB2312" w:eastAsia="仿宋_GB2312"/>
              </w:rPr>
              <w:t>⑤修枝：主要除去林木枯死枝、枯稍、林下轮生枝，一般修去树冠下部衰老的1轮—2轮活枝，阔叶树采用平切法、针叶树采用留桩法进行修枝。幼龄林阶段修枝后保留冠长不低于树高的2/3，中龄林阶段修枝后保留冠长不低于树高的1/2。枝桩修平，剪口不能伤害树干的韧皮部和木质部。采用留桩法进行修枝时，留1—3厘米的残桩，以免切口相连造成环状剥皮。采用平切法修枝时应紧贴枝条基部，不留茬。避免在雨季修枝，以免伤口不易愈合而感染病害，形成疤痕。树木二分叉，主干竞争枝，要坚决修掉。</w:t>
            </w:r>
          </w:p>
          <w:p>
            <w:pPr>
              <w:pStyle w:val="null3"/>
            </w:pPr>
            <w:r>
              <w:rPr>
                <w:rFonts w:ascii="仿宋_GB2312" w:hAnsi="仿宋_GB2312" w:cs="仿宋_GB2312" w:eastAsia="仿宋_GB2312"/>
              </w:rPr>
              <w:t>⑥割灌：利用镰刀、手锯等工具，割除影响目的树种幼苗幼树生长的，或目的树种幼苗幼树周围1米以内的杂灌和缠绕目标树种的藤蔓，提倡围绕目的树种幼苗幼树进行局部割灌，避免全面割灌，割灌时贴近地面切割，留茬高度不宜高于5厘米，对于大藤蔓，只需从根部断开，无需强行清理。</w:t>
            </w:r>
          </w:p>
          <w:p>
            <w:pPr>
              <w:pStyle w:val="null3"/>
            </w:pPr>
            <w:r>
              <w:rPr>
                <w:rFonts w:ascii="仿宋_GB2312" w:hAnsi="仿宋_GB2312" w:cs="仿宋_GB2312" w:eastAsia="仿宋_GB2312"/>
              </w:rPr>
              <w:t>⑦采伐剩余物处理：针对交通条件便利、立地条件较好的区域，将作业过程中产生的剩余物就地截短平铺在林内或按一定间距均匀堆放在林内，不能覆盖压埋幼树幼苗，不能影响保留木的生长；针对坡度陡、立地条件差的区域，可在目标树根部做反坡向的水肥坑并将采伐剩余物适当切碎埋于坑内。</w:t>
            </w:r>
          </w:p>
          <w:p>
            <w:pPr>
              <w:pStyle w:val="null3"/>
              <w:spacing w:before="45" w:after="45"/>
              <w:jc w:val="left"/>
            </w:pPr>
            <w:r>
              <w:rPr>
                <w:rFonts w:ascii="仿宋_GB2312" w:hAnsi="仿宋_GB2312" w:cs="仿宋_GB2312" w:eastAsia="仿宋_GB2312"/>
                <w:sz w:val="21"/>
                <w:b/>
                <w:color w:val="000000"/>
              </w:rPr>
              <w:t>1.4苗木标准</w:t>
            </w:r>
          </w:p>
          <w:p>
            <w:pPr>
              <w:pStyle w:val="null3"/>
              <w:spacing w:before="45" w:after="45"/>
              <w:ind w:firstLine="480"/>
              <w:jc w:val="left"/>
            </w:pPr>
            <w:r>
              <w:rPr>
                <w:rFonts w:ascii="仿宋_GB2312" w:hAnsi="仿宋_GB2312" w:cs="仿宋_GB2312" w:eastAsia="仿宋_GB2312"/>
              </w:rPr>
              <w:t>补植所用苗木全部采用由林木种苗管理部门组织供应或经其检验的具有“两证一签”（检疫合格证、检验合格证、标签）的I级苗木，优先使用当地苗木。苗木检验中要严格把关，选用植株健壮、苗干通直圆满、木质化程度高、根系发达而完整、具有完整饱满的顶芽、无机械损伤、无病虫害、不失水、有旺盛生命力的优质苗木。</w:t>
            </w:r>
          </w:p>
          <w:p>
            <w:pPr>
              <w:pStyle w:val="null3"/>
              <w:jc w:val="left"/>
            </w:pPr>
            <w:r>
              <w:rPr>
                <w:rFonts w:ascii="仿宋_GB2312" w:hAnsi="仿宋_GB2312" w:cs="仿宋_GB2312" w:eastAsia="仿宋_GB2312"/>
                <w:sz w:val="24"/>
                <w:color w:val="000000"/>
              </w:rPr>
              <w:t>附表：</w:t>
            </w:r>
          </w:p>
          <w:p>
            <w:pPr>
              <w:pStyle w:val="null3"/>
              <w:jc w:val="center"/>
            </w:pPr>
            <w:r>
              <w:rPr>
                <w:rFonts w:ascii="仿宋_GB2312" w:hAnsi="仿宋_GB2312" w:cs="仿宋_GB2312" w:eastAsia="仿宋_GB2312"/>
                <w:sz w:val="24"/>
                <w:b/>
                <w:color w:val="000000"/>
              </w:rPr>
              <w:t>中幼龄林抚育作业量汇总表</w:t>
            </w:r>
          </w:p>
          <w:tbl>
            <w:tblPr>
              <w:tblBorders>
                <w:top w:val="none" w:color="000000" w:sz="4"/>
                <w:left w:val="none" w:color="000000" w:sz="4"/>
                <w:bottom w:val="none" w:color="000000" w:sz="4"/>
                <w:right w:val="none" w:color="000000" w:sz="4"/>
                <w:insideH w:val="none"/>
                <w:insideV w:val="none"/>
              </w:tblBorders>
            </w:tblPr>
            <w:tblGrid>
              <w:gridCol w:w="103"/>
              <w:gridCol w:w="166"/>
              <w:gridCol w:w="136"/>
              <w:gridCol w:w="131"/>
              <w:gridCol w:w="245"/>
              <w:gridCol w:w="175"/>
              <w:gridCol w:w="189"/>
              <w:gridCol w:w="119"/>
              <w:gridCol w:w="189"/>
              <w:gridCol w:w="150"/>
              <w:gridCol w:w="189"/>
              <w:gridCol w:w="136"/>
              <w:gridCol w:w="136"/>
              <w:gridCol w:w="136"/>
              <w:gridCol w:w="162"/>
              <w:gridCol w:w="189"/>
            </w:tblGrid>
            <w:tr>
              <w:tc>
                <w:tcPr>
                  <w:tcW w:type="dxa" w:w="1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小班</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作业面积</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亩</w:t>
                  </w:r>
                  <w:r>
                    <w:rPr>
                      <w:rFonts w:ascii="仿宋_GB2312" w:hAnsi="仿宋_GB2312" w:cs="仿宋_GB2312" w:eastAsia="仿宋_GB2312"/>
                      <w:sz w:val="18"/>
                      <w:b/>
                      <w:color w:val="000000"/>
                    </w:rPr>
                    <w:t>)</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龄组</w:t>
                  </w:r>
                </w:p>
              </w:tc>
              <w:tc>
                <w:tcPr>
                  <w:tcW w:type="dxa" w:w="1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抚育方式</w:t>
                  </w:r>
                </w:p>
              </w:tc>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抚育方法</w:t>
                  </w:r>
                </w:p>
              </w:tc>
              <w:tc>
                <w:tcPr>
                  <w:tcW w:type="dxa" w:w="1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培育树种</w:t>
                  </w:r>
                </w:p>
              </w:tc>
              <w:tc>
                <w:tcPr>
                  <w:tcW w:type="dxa" w:w="4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补植作业</w:t>
                  </w:r>
                </w:p>
              </w:tc>
              <w:tc>
                <w:tcPr>
                  <w:tcW w:type="dxa" w:w="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修枝株数（株</w:t>
                  </w:r>
                  <w:r>
                    <w:rPr>
                      <w:rFonts w:ascii="仿宋_GB2312" w:hAnsi="仿宋_GB2312" w:cs="仿宋_GB2312" w:eastAsia="仿宋_GB2312"/>
                      <w:sz w:val="18"/>
                      <w:b/>
                      <w:color w:val="000000"/>
                    </w:rPr>
                    <w:t>/亩）</w:t>
                  </w:r>
                </w:p>
              </w:tc>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总修枝株数（株）</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割灌强度</w:t>
                  </w:r>
                </w:p>
              </w:tc>
              <w:tc>
                <w:tcPr>
                  <w:tcW w:type="dxa" w:w="623"/>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抚育间伐作业</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面积（亩）</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树种</w:t>
                  </w: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株数（株）</w:t>
                  </w: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采伐强度</w:t>
                  </w:r>
                </w:p>
              </w:tc>
              <w:tc>
                <w:tcPr>
                  <w:tcW w:type="dxa" w:w="35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采伐量</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株数强度</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蓄积强度</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每亩采伐株数（株</w:t>
                  </w:r>
                  <w:r>
                    <w:rPr>
                      <w:rFonts w:ascii="仿宋_GB2312" w:hAnsi="仿宋_GB2312" w:cs="仿宋_GB2312" w:eastAsia="仿宋_GB2312"/>
                      <w:sz w:val="18"/>
                      <w:b/>
                      <w:color w:val="000000"/>
                    </w:rPr>
                    <w:t>/亩）</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采伐株数</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株</w:t>
                  </w:r>
                  <w:r>
                    <w:rPr>
                      <w:rFonts w:ascii="仿宋_GB2312" w:hAnsi="仿宋_GB2312" w:cs="仿宋_GB2312" w:eastAsia="仿宋_GB2312"/>
                      <w:sz w:val="18"/>
                      <w:b/>
                      <w:color w:val="000000"/>
                    </w:rPr>
                    <w:t>)</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10431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2825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332989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162819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4525</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4734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8698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4639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3172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3610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5292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3366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3532</w:t>
                  </w:r>
                </w:p>
              </w:tc>
            </w:tr>
          </w:tbl>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标的名称：中幼龄林抚育2507亩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1.1抚育范围及对象</w:t>
            </w:r>
          </w:p>
          <w:p>
            <w:pPr>
              <w:pStyle w:val="null3"/>
              <w:jc w:val="left"/>
            </w:pPr>
            <w:r>
              <w:rPr>
                <w:rFonts w:ascii="仿宋_GB2312" w:hAnsi="仿宋_GB2312" w:cs="仿宋_GB2312" w:eastAsia="仿宋_GB2312"/>
              </w:rPr>
              <w:t>作业区位于西乡县骆家坝镇</w:t>
            </w:r>
            <w:r>
              <w:rPr>
                <w:rFonts w:ascii="仿宋_GB2312" w:hAnsi="仿宋_GB2312" w:cs="仿宋_GB2312" w:eastAsia="仿宋_GB2312"/>
              </w:rPr>
              <w:t>张家坝村，22-36号小班+宣传牌，共15个小班，作业面积2507亩（详见中幼龄林抚育作业量汇总表）。项目区所属地类均为乔木林地，龄组为中幼龄林，优势树种主要以栎类、马尾松、板栗为主，作业区部分小班内林冠下杂灌从生，幼树生长受灌草压制，灌木盖度达到15%-35%，藤本交错缠绕，枝条密集、交叉重叠，结构简单，林分稳定性、抗逆能力较差，部分</w:t>
            </w:r>
            <w:r>
              <w:rPr>
                <w:rFonts w:ascii="仿宋_GB2312" w:hAnsi="仿宋_GB2312" w:cs="仿宋_GB2312" w:eastAsia="仿宋_GB2312"/>
              </w:rPr>
              <w:t>区域存在林窗和林中空地。</w:t>
            </w:r>
          </w:p>
          <w:p>
            <w:pPr>
              <w:pStyle w:val="null3"/>
              <w:jc w:val="left"/>
            </w:pPr>
            <w:r>
              <w:rPr>
                <w:rFonts w:ascii="仿宋_GB2312" w:hAnsi="仿宋_GB2312" w:cs="仿宋_GB2312" w:eastAsia="仿宋_GB2312"/>
                <w:sz w:val="21"/>
                <w:b/>
                <w:color w:val="000000"/>
              </w:rPr>
              <w:t>1.2抚育方式</w:t>
            </w:r>
          </w:p>
          <w:p>
            <w:pPr>
              <w:pStyle w:val="null3"/>
              <w:jc w:val="left"/>
            </w:pPr>
            <w:r>
              <w:rPr>
                <w:rFonts w:ascii="仿宋_GB2312" w:hAnsi="仿宋_GB2312" w:cs="仿宋_GB2312" w:eastAsia="仿宋_GB2312"/>
              </w:rPr>
              <w:t>1. 疏伐+修枝+割灌</w:t>
            </w:r>
          </w:p>
          <w:p>
            <w:pPr>
              <w:pStyle w:val="null3"/>
            </w:pPr>
            <w:r>
              <w:rPr>
                <w:rFonts w:ascii="仿宋_GB2312" w:hAnsi="仿宋_GB2312" w:cs="仿宋_GB2312" w:eastAsia="仿宋_GB2312"/>
              </w:rPr>
              <w:t>1）培育树种：栓皮栎、马尾松、板栗。</w:t>
            </w:r>
          </w:p>
          <w:p>
            <w:pPr>
              <w:pStyle w:val="null3"/>
            </w:pPr>
            <w:r>
              <w:rPr>
                <w:rFonts w:ascii="仿宋_GB2312" w:hAnsi="仿宋_GB2312" w:cs="仿宋_GB2312" w:eastAsia="仿宋_GB2312"/>
              </w:rPr>
              <w:t>2）林分特点：以栓皮栎、马尾松、板栗为优势树种，林分郁闭度为0.80~0.85之间；林分密度较大、林内杂乱，劣势木较多；林木平均胸径9.3—10.9，树高8.4—9.5米；林下灌木较多，有马桑、盐肤木、连翘、胡枝子、卫矛、山胡椒等，灌草盖度为30-35%。</w:t>
            </w:r>
          </w:p>
          <w:p>
            <w:pPr>
              <w:pStyle w:val="null3"/>
            </w:pPr>
            <w:r>
              <w:rPr>
                <w:rFonts w:ascii="仿宋_GB2312" w:hAnsi="仿宋_GB2312" w:cs="仿宋_GB2312" w:eastAsia="仿宋_GB2312"/>
              </w:rPr>
              <w:t>3）采伐强度：采伐株数强度为15～20%，采伐蓄积强度10~12%，每亩采伐株数16～24株。</w:t>
            </w:r>
          </w:p>
          <w:p>
            <w:pPr>
              <w:pStyle w:val="null3"/>
            </w:pPr>
            <w:r>
              <w:rPr>
                <w:rFonts w:ascii="仿宋_GB2312" w:hAnsi="仿宋_GB2312" w:cs="仿宋_GB2312" w:eastAsia="仿宋_GB2312"/>
              </w:rPr>
              <w:t>4）修枝株数：31~34株/亩。</w:t>
            </w:r>
          </w:p>
          <w:p>
            <w:pPr>
              <w:pStyle w:val="null3"/>
            </w:pPr>
            <w:r>
              <w:rPr>
                <w:rFonts w:ascii="仿宋_GB2312" w:hAnsi="仿宋_GB2312" w:cs="仿宋_GB2312" w:eastAsia="仿宋_GB2312"/>
              </w:rPr>
              <w:t>5）割灌对象：割除影响目的树种幼树幼苗生长的杂灌杂草，割去除珍稀藤本外影响目标树的杂藤。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2. 透光伐+修枝+割灌</w:t>
            </w:r>
          </w:p>
          <w:p>
            <w:pPr>
              <w:pStyle w:val="null3"/>
            </w:pPr>
            <w:r>
              <w:rPr>
                <w:rFonts w:ascii="仿宋_GB2312" w:hAnsi="仿宋_GB2312" w:cs="仿宋_GB2312" w:eastAsia="仿宋_GB2312"/>
              </w:rPr>
              <w:t>1）培育树种：栓皮栎。</w:t>
            </w:r>
          </w:p>
          <w:p>
            <w:pPr>
              <w:pStyle w:val="null3"/>
            </w:pPr>
            <w:r>
              <w:rPr>
                <w:rFonts w:ascii="仿宋_GB2312" w:hAnsi="仿宋_GB2312" w:cs="仿宋_GB2312" w:eastAsia="仿宋_GB2312"/>
              </w:rPr>
              <w:t>2）林分特点：以栓皮栎为优势树种的幼龄林，林分郁闭度为0.80；林内透光条件差，林木生长空间不足，单株林木长势缓慢，作业区部分区域林分杂乱，林内杂灌杂草覆盖度高；林木平均胸径9.1—9.8，树高8.2—8.6米；林下灌木较多，有盐肤木、连翘、胡枝子、卫矛、山胡椒等，灌草盖度为28-32%。</w:t>
            </w:r>
          </w:p>
          <w:p>
            <w:pPr>
              <w:pStyle w:val="null3"/>
            </w:pPr>
            <w:r>
              <w:rPr>
                <w:rFonts w:ascii="仿宋_GB2312" w:hAnsi="仿宋_GB2312" w:cs="仿宋_GB2312" w:eastAsia="仿宋_GB2312"/>
              </w:rPr>
              <w:t>3）采伐强度：采伐株数强度为15～18%，采伐蓄积强度7~9%，每亩采伐株数16～22株。。</w:t>
            </w:r>
          </w:p>
          <w:p>
            <w:pPr>
              <w:pStyle w:val="null3"/>
            </w:pPr>
            <w:r>
              <w:rPr>
                <w:rFonts w:ascii="仿宋_GB2312" w:hAnsi="仿宋_GB2312" w:cs="仿宋_GB2312" w:eastAsia="仿宋_GB2312"/>
              </w:rPr>
              <w:t>4）修枝株数：29~34株/亩。</w:t>
            </w:r>
          </w:p>
          <w:p>
            <w:pPr>
              <w:pStyle w:val="null3"/>
            </w:pPr>
            <w:r>
              <w:rPr>
                <w:rFonts w:ascii="仿宋_GB2312" w:hAnsi="仿宋_GB2312" w:cs="仿宋_GB2312" w:eastAsia="仿宋_GB2312"/>
              </w:rPr>
              <w:t>5）割灌对象：割除影响目的树种幼树幼苗生长的杂灌杂草，割去除珍稀藤本外影响目标树种的杂藤。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3. 补植+修枝+割灌</w:t>
            </w:r>
          </w:p>
          <w:p>
            <w:pPr>
              <w:pStyle w:val="null3"/>
            </w:pPr>
            <w:r>
              <w:rPr>
                <w:rFonts w:ascii="仿宋_GB2312" w:hAnsi="仿宋_GB2312" w:cs="仿宋_GB2312" w:eastAsia="仿宋_GB2312"/>
              </w:rPr>
              <w:t>1）补植树种：七叶树。</w:t>
            </w:r>
          </w:p>
          <w:p>
            <w:pPr>
              <w:pStyle w:val="null3"/>
            </w:pPr>
            <w:r>
              <w:rPr>
                <w:rFonts w:ascii="仿宋_GB2312" w:hAnsi="仿宋_GB2312" w:cs="仿宋_GB2312" w:eastAsia="仿宋_GB2312"/>
              </w:rPr>
              <w:t>2）林分特点：以栓皮栎、马尾松为优势树种的中幼龄林，针阔混交，阔叶树占比较大，林分郁闭度为0.70；存在林窗与林间空地；林木平均胸径9.0—10.7厘米，平均树高8.3—9.4米之间；林下灌木较少，主要有卫矛、木槿、马桑、连翘等，灌草盖度为25-30%。</w:t>
            </w:r>
          </w:p>
          <w:p>
            <w:pPr>
              <w:pStyle w:val="null3"/>
            </w:pPr>
            <w:r>
              <w:rPr>
                <w:rFonts w:ascii="仿宋_GB2312" w:hAnsi="仿宋_GB2312" w:cs="仿宋_GB2312" w:eastAsia="仿宋_GB2312"/>
              </w:rPr>
              <w:t>3）整地方式：穴状整地，40×40×40cm。</w:t>
            </w:r>
          </w:p>
          <w:p>
            <w:pPr>
              <w:pStyle w:val="null3"/>
            </w:pPr>
            <w:r>
              <w:rPr>
                <w:rFonts w:ascii="仿宋_GB2312" w:hAnsi="仿宋_GB2312" w:cs="仿宋_GB2312" w:eastAsia="仿宋_GB2312"/>
              </w:rPr>
              <w:t>4）补植密度：20-25株/亩。</w:t>
            </w:r>
          </w:p>
          <w:p>
            <w:pPr>
              <w:pStyle w:val="null3"/>
            </w:pPr>
            <w:r>
              <w:rPr>
                <w:rFonts w:ascii="仿宋_GB2312" w:hAnsi="仿宋_GB2312" w:cs="仿宋_GB2312" w:eastAsia="仿宋_GB2312"/>
              </w:rPr>
              <w:t>5）修枝株数：31~35株/亩。</w:t>
            </w:r>
          </w:p>
          <w:p>
            <w:pPr>
              <w:pStyle w:val="null3"/>
            </w:pPr>
            <w:r>
              <w:rPr>
                <w:rFonts w:ascii="仿宋_GB2312" w:hAnsi="仿宋_GB2312" w:cs="仿宋_GB2312" w:eastAsia="仿宋_GB2312"/>
              </w:rPr>
              <w:t>6）割灌对象：割除影响目的树种幼树幼苗生长的杂灌杂草，割去除珍稀藤本外影响目标树种的杂藤。</w:t>
            </w:r>
          </w:p>
          <w:p>
            <w:pPr>
              <w:pStyle w:val="null3"/>
            </w:pPr>
            <w:r>
              <w:rPr>
                <w:rFonts w:ascii="仿宋_GB2312" w:hAnsi="仿宋_GB2312" w:cs="仿宋_GB2312" w:eastAsia="仿宋_GB2312"/>
              </w:rPr>
              <w:t>7）用工内容：林地清理、整地、栽植、管护、修枝、割灌。</w:t>
            </w:r>
          </w:p>
          <w:p>
            <w:pPr>
              <w:pStyle w:val="null3"/>
            </w:pPr>
            <w:r>
              <w:rPr>
                <w:rFonts w:ascii="仿宋_GB2312" w:hAnsi="仿宋_GB2312" w:cs="仿宋_GB2312" w:eastAsia="仿宋_GB2312"/>
                <w:sz w:val="21"/>
                <w:b/>
                <w:color w:val="000000"/>
              </w:rPr>
              <w:t>1.3抚育作业工序流程</w:t>
            </w:r>
          </w:p>
          <w:p>
            <w:pPr>
              <w:pStyle w:val="null3"/>
            </w:pPr>
            <w:r>
              <w:rPr>
                <w:rFonts w:ascii="仿宋_GB2312" w:hAnsi="仿宋_GB2312" w:cs="仿宋_GB2312" w:eastAsia="仿宋_GB2312"/>
              </w:rPr>
              <w:t>中幼龄林抚育工序大致分为施工准备、施工阶段和施工验收三个阶段。</w:t>
            </w:r>
          </w:p>
          <w:p>
            <w:pPr>
              <w:pStyle w:val="null3"/>
            </w:pPr>
            <w:r>
              <w:rPr>
                <w:rFonts w:ascii="仿宋_GB2312" w:hAnsi="仿宋_GB2312" w:cs="仿宋_GB2312" w:eastAsia="仿宋_GB2312"/>
              </w:rPr>
              <w:t>（1）技术培训与现场管理</w:t>
            </w:r>
          </w:p>
          <w:p>
            <w:pPr>
              <w:pStyle w:val="null3"/>
            </w:pPr>
            <w:r>
              <w:rPr>
                <w:rFonts w:ascii="仿宋_GB2312" w:hAnsi="仿宋_GB2312" w:cs="仿宋_GB2312" w:eastAsia="仿宋_GB2312"/>
              </w:rPr>
              <w:t>由西乡县林业局组织对参与中幼龄林抚育的施工人员进行岗前培训，培训内容为任务目标及实施要求，中幼龄林抚育技术及操作要点，强调施工安全。</w:t>
            </w:r>
          </w:p>
          <w:p>
            <w:pPr>
              <w:pStyle w:val="null3"/>
            </w:pPr>
            <w:r>
              <w:rPr>
                <w:rFonts w:ascii="仿宋_GB2312" w:hAnsi="仿宋_GB2312" w:cs="仿宋_GB2312" w:eastAsia="仿宋_GB2312"/>
              </w:rPr>
              <w:t>施工期间“四员”和安全员必须在场，确保施工规范，安全施工，抚育作业按要求完成。</w:t>
            </w:r>
          </w:p>
          <w:p>
            <w:pPr>
              <w:pStyle w:val="null3"/>
            </w:pPr>
            <w:r>
              <w:rPr>
                <w:rFonts w:ascii="仿宋_GB2312" w:hAnsi="仿宋_GB2312" w:cs="仿宋_GB2312" w:eastAsia="仿宋_GB2312"/>
              </w:rPr>
              <w:t>（2）作业方式</w:t>
            </w:r>
          </w:p>
          <w:p>
            <w:pPr>
              <w:pStyle w:val="null3"/>
            </w:pPr>
            <w:r>
              <w:rPr>
                <w:rFonts w:ascii="仿宋_GB2312" w:hAnsi="仿宋_GB2312" w:cs="仿宋_GB2312" w:eastAsia="仿宋_GB2312"/>
              </w:rPr>
              <w:t>根据当地地形特点和资源状况，中幼龄林抚育疏伐、透光伐、修枝、割灌、补植等作业工序，均采用人力方式。</w:t>
            </w:r>
          </w:p>
          <w:p>
            <w:pPr>
              <w:pStyle w:val="null3"/>
            </w:pPr>
            <w:r>
              <w:rPr>
                <w:rFonts w:ascii="仿宋_GB2312" w:hAnsi="仿宋_GB2312" w:cs="仿宋_GB2312" w:eastAsia="仿宋_GB2312"/>
              </w:rPr>
              <w:t>①标界：在指定作业小班区域后，施工技术人员按照设计图纸沿周界采用打桩或用红漆在固定物标注等形式确定施工作业小班的周界。</w:t>
            </w:r>
          </w:p>
          <w:p>
            <w:pPr>
              <w:pStyle w:val="null3"/>
            </w:pPr>
            <w:r>
              <w:rPr>
                <w:rFonts w:ascii="仿宋_GB2312" w:hAnsi="仿宋_GB2312" w:cs="仿宋_GB2312" w:eastAsia="仿宋_GB2312"/>
              </w:rPr>
              <w:t>②打号：抚育作业前，打号员应根据作业设计，用红油漆对抚育木进行打号。</w:t>
            </w:r>
          </w:p>
          <w:p>
            <w:pPr>
              <w:pStyle w:val="null3"/>
            </w:pPr>
            <w:r>
              <w:rPr>
                <w:rFonts w:ascii="仿宋_GB2312" w:hAnsi="仿宋_GB2312" w:cs="仿宋_GB2312" w:eastAsia="仿宋_GB2312"/>
              </w:rPr>
              <w:t>③采伐：按照当地林木采伐限额管理制度，办理林木采伐许可证后方可施工。依据“砍劣留优、砍密留匀、分布均匀、疏密适度”的原则，在郁闭度≥0.80的乔木林中，疏伐优先采伐濒死木、枯死木以及生长落后、径级较小的劣势木、个别粗大的干形不良木以及影响目标树生长的干扰树，采伐株数强度按15%—20%，蓄积强度按10%—12%。采伐木顺序为：干扰树、（必要时）其他树；保留木顺序为：目标树、辅助树、其他树；透光伐优先采伐幼龄林阶段影响目的树种遮阴的林木，采伐株数强度按15%—18%，蓄积强度按7%—9%。采伐后，林分郁闭度不低于0.6，林木分布均匀，不造成林中空地和林窗。</w:t>
            </w:r>
          </w:p>
          <w:p>
            <w:pPr>
              <w:pStyle w:val="null3"/>
            </w:pPr>
            <w:r>
              <w:rPr>
                <w:rFonts w:ascii="仿宋_GB2312" w:hAnsi="仿宋_GB2312" w:cs="仿宋_GB2312" w:eastAsia="仿宋_GB2312"/>
              </w:rPr>
              <w:t>④补植</w:t>
            </w:r>
          </w:p>
          <w:p>
            <w:pPr>
              <w:pStyle w:val="null3"/>
            </w:pPr>
            <w:r>
              <w:rPr>
                <w:rFonts w:ascii="仿宋_GB2312" w:hAnsi="仿宋_GB2312" w:cs="仿宋_GB2312" w:eastAsia="仿宋_GB2312"/>
              </w:rPr>
              <w:t>a、补植对象</w:t>
            </w:r>
          </w:p>
          <w:p>
            <w:pPr>
              <w:pStyle w:val="null3"/>
            </w:pPr>
            <w:r>
              <w:rPr>
                <w:rFonts w:ascii="仿宋_GB2312" w:hAnsi="仿宋_GB2312" w:cs="仿宋_GB2312" w:eastAsia="仿宋_GB2312"/>
              </w:rPr>
              <w:t>主要在林中含有大于25平方米的林中空地，林窗较大区域补植。</w:t>
            </w:r>
          </w:p>
          <w:p>
            <w:pPr>
              <w:pStyle w:val="null3"/>
            </w:pPr>
            <w:r>
              <w:rPr>
                <w:rFonts w:ascii="仿宋_GB2312" w:hAnsi="仿宋_GB2312" w:cs="仿宋_GB2312" w:eastAsia="仿宋_GB2312"/>
              </w:rPr>
              <w:t>b、补植树种及密度</w:t>
            </w:r>
          </w:p>
          <w:p>
            <w:pPr>
              <w:pStyle w:val="null3"/>
            </w:pPr>
            <w:r>
              <w:rPr>
                <w:rFonts w:ascii="仿宋_GB2312" w:hAnsi="仿宋_GB2312" w:cs="仿宋_GB2312" w:eastAsia="仿宋_GB2312"/>
              </w:rPr>
              <w:t>根据现地调查，确定补植树种为七叶树。选用H≥200cm，胸径≥2.0cm的土球苗（土球规格≥18㎝），苗木等级为“I”苗木，补植密度20-25株/亩，GGR用量1克/亩。</w:t>
            </w:r>
          </w:p>
          <w:p>
            <w:pPr>
              <w:pStyle w:val="null3"/>
            </w:pPr>
            <w:r>
              <w:rPr>
                <w:rFonts w:ascii="仿宋_GB2312" w:hAnsi="仿宋_GB2312" w:cs="仿宋_GB2312" w:eastAsia="仿宋_GB2312"/>
              </w:rPr>
              <w:t>c、林地清理</w:t>
            </w:r>
          </w:p>
          <w:p>
            <w:pPr>
              <w:pStyle w:val="null3"/>
            </w:pPr>
            <w:r>
              <w:rPr>
                <w:rFonts w:ascii="仿宋_GB2312" w:hAnsi="仿宋_GB2312" w:cs="仿宋_GB2312" w:eastAsia="仿宋_GB2312"/>
              </w:rPr>
              <w:t>补植同造林一样，采用局部清理方式，对栽植点1米范围内影响幼苗生长的植被进行清理，清理时应尽量减少对地表原有幼树幼苗和林地土壤的破坏。</w:t>
            </w:r>
          </w:p>
          <w:p>
            <w:pPr>
              <w:pStyle w:val="null3"/>
            </w:pPr>
            <w:r>
              <w:rPr>
                <w:rFonts w:ascii="仿宋_GB2312" w:hAnsi="仿宋_GB2312" w:cs="仿宋_GB2312" w:eastAsia="仿宋_GB2312"/>
              </w:rPr>
              <w:t>d、整地</w:t>
            </w:r>
          </w:p>
          <w:p>
            <w:pPr>
              <w:pStyle w:val="null3"/>
            </w:pPr>
            <w:r>
              <w:rPr>
                <w:rFonts w:ascii="仿宋_GB2312" w:hAnsi="仿宋_GB2312" w:cs="仿宋_GB2312" w:eastAsia="仿宋_GB2312"/>
              </w:rPr>
              <w:t>整地同造林一样，应遵循因地制宜的原则，以蓄水保土为目的。整地方式采用穴状整地，整地规格为40×40×40厘米。根据项目区自然条件和多年造林经验，整地时间应在造林前1个季度进行。</w:t>
            </w:r>
          </w:p>
          <w:p>
            <w:pPr>
              <w:pStyle w:val="null3"/>
            </w:pPr>
            <w:r>
              <w:rPr>
                <w:rFonts w:ascii="仿宋_GB2312" w:hAnsi="仿宋_GB2312" w:cs="仿宋_GB2312" w:eastAsia="仿宋_GB2312"/>
              </w:rPr>
              <w:t>e、栽植</w:t>
            </w:r>
          </w:p>
          <w:p>
            <w:pPr>
              <w:pStyle w:val="null3"/>
            </w:pPr>
            <w:r>
              <w:rPr>
                <w:rFonts w:ascii="仿宋_GB2312" w:hAnsi="仿宋_GB2312" w:cs="仿宋_GB2312" w:eastAsia="仿宋_GB2312"/>
              </w:rPr>
              <w:t>同造林时间，可选择秋季或春季。秋季造林时间从秋末开始，至土壤封冻前停止，在10月中旬至11月下旬进行，春季造林时间宜在3月中旬至萌芽前进行。</w:t>
            </w:r>
          </w:p>
          <w:p>
            <w:pPr>
              <w:pStyle w:val="null3"/>
            </w:pPr>
            <w:r>
              <w:rPr>
                <w:rFonts w:ascii="仿宋_GB2312" w:hAnsi="仿宋_GB2312" w:cs="仿宋_GB2312" w:eastAsia="仿宋_GB2312"/>
              </w:rPr>
              <w:t>栽植前先在穴底回填表土，垫至离地面10—20厘米处为止，再将心土与表土混合均匀填入坑内，最后将心土覆盖其上，直至将坑穴填满。可采用GGR蘸根措施，以提高造林成活率。栽植技术要领：扶正、栽直、分层填土、轻提苗木、分层压实，使苗木根系与土壤接触密实。</w:t>
            </w:r>
          </w:p>
          <w:p>
            <w:pPr>
              <w:pStyle w:val="null3"/>
            </w:pPr>
            <w:r>
              <w:rPr>
                <w:rFonts w:ascii="仿宋_GB2312" w:hAnsi="仿宋_GB2312" w:cs="仿宋_GB2312" w:eastAsia="仿宋_GB2312"/>
              </w:rPr>
              <w:t>f、其他</w:t>
            </w:r>
          </w:p>
          <w:p>
            <w:pPr>
              <w:pStyle w:val="null3"/>
            </w:pPr>
            <w:r>
              <w:rPr>
                <w:rFonts w:ascii="仿宋_GB2312" w:hAnsi="仿宋_GB2312" w:cs="仿宋_GB2312" w:eastAsia="仿宋_GB2312"/>
              </w:rPr>
              <w:t>补植当年成活率应达85%，补植过程中不损害林分中原有的幼苗幼树，补植整地方式尽量减少开挖面，减少对土壤的扰动，减少对地被物的破坏。</w:t>
            </w:r>
          </w:p>
          <w:p>
            <w:pPr>
              <w:pStyle w:val="null3"/>
            </w:pPr>
            <w:r>
              <w:rPr>
                <w:rFonts w:ascii="仿宋_GB2312" w:hAnsi="仿宋_GB2312" w:cs="仿宋_GB2312" w:eastAsia="仿宋_GB2312"/>
              </w:rPr>
              <w:t>⑤修枝：主要除去林木枯死枝、枯稍、林下轮生枝，一般修去树冠下部衰老的1轮—2轮活枝，阔叶树采用平切法、针叶树采用留桩法进行修枝。幼龄林阶段修枝后保留冠长不低于树高的2/3，中龄林阶段修枝后保留冠长不低于树高的1/2。枝桩修平，剪口不能伤害树干的韧皮部和木质部。采用留桩法进行修枝时，留1—3厘米的残桩，以免切口相连造成环状剥皮。采用平切法修枝时应紧贴枝条基部，不留茬。避免在雨季修枝，以免伤口不易愈合而感染病害，形成疤痕。树木二分叉，主干竞争枝，要坚决修掉。</w:t>
            </w:r>
          </w:p>
          <w:p>
            <w:pPr>
              <w:pStyle w:val="null3"/>
            </w:pPr>
            <w:r>
              <w:rPr>
                <w:rFonts w:ascii="仿宋_GB2312" w:hAnsi="仿宋_GB2312" w:cs="仿宋_GB2312" w:eastAsia="仿宋_GB2312"/>
              </w:rPr>
              <w:t>⑥割灌：利用镰刀、手锯等工具，割除影响目的树种幼苗幼树生长的，或目的树种幼苗幼树周围1米以内的杂灌和缠绕目标树种的藤蔓，提倡围绕目的树种幼苗幼树进行局部割灌，避免全面割灌，割灌时贴近地面切割，留茬高度不宜高于5厘米，对于大藤蔓，只需从根部断开，无需强行清理。</w:t>
            </w:r>
          </w:p>
          <w:p>
            <w:pPr>
              <w:pStyle w:val="null3"/>
            </w:pPr>
            <w:r>
              <w:rPr>
                <w:rFonts w:ascii="仿宋_GB2312" w:hAnsi="仿宋_GB2312" w:cs="仿宋_GB2312" w:eastAsia="仿宋_GB2312"/>
              </w:rPr>
              <w:t>⑦采伐剩余物处理：针对交通条件便利、立地条件较好的区域，将作业过程中产生的剩余物就地截短平铺在林内或按一定间距均匀堆放在林内，不能覆盖压埋幼树幼苗，不能影响保留木的生长；针对坡度陡、立地条件差的区域，可在目标树根部做反坡向的水肥坑并将采伐剩余物适当切碎埋于坑内。</w:t>
            </w:r>
          </w:p>
          <w:p>
            <w:pPr>
              <w:pStyle w:val="null3"/>
              <w:spacing w:before="45" w:after="45"/>
              <w:jc w:val="left"/>
            </w:pPr>
            <w:r>
              <w:rPr>
                <w:rFonts w:ascii="仿宋_GB2312" w:hAnsi="仿宋_GB2312" w:cs="仿宋_GB2312" w:eastAsia="仿宋_GB2312"/>
                <w:sz w:val="21"/>
                <w:b/>
                <w:color w:val="000000"/>
              </w:rPr>
              <w:t>1.4苗木标准</w:t>
            </w:r>
          </w:p>
          <w:p>
            <w:pPr>
              <w:pStyle w:val="null3"/>
              <w:spacing w:before="45" w:after="45"/>
              <w:jc w:val="left"/>
            </w:pPr>
            <w:r>
              <w:rPr>
                <w:rFonts w:ascii="仿宋_GB2312" w:hAnsi="仿宋_GB2312" w:cs="仿宋_GB2312" w:eastAsia="仿宋_GB2312"/>
              </w:rPr>
              <w:t>补植所用苗木全部采用由林木种苗管理部门组织供应或经其检验的具有“两证一签”（检疫合格证、检验合格证、标签）的I级苗木，优先使用当地苗木。苗木检验中要严格把关，选用植株健壮、苗干通直圆满、木质化程度高、根系发达而完整、具有完整饱满的顶芽、无机械损伤、无病虫害、不失水、有旺盛生命力的优质苗木。</w:t>
            </w:r>
          </w:p>
          <w:p>
            <w:pPr>
              <w:pStyle w:val="null3"/>
              <w:spacing w:before="45" w:after="45"/>
              <w:ind w:firstLine="480"/>
              <w:jc w:val="left"/>
            </w:pPr>
            <w:r>
              <w:rPr>
                <w:rFonts w:ascii="仿宋_GB2312" w:hAnsi="仿宋_GB2312" w:cs="仿宋_GB2312" w:eastAsia="仿宋_GB2312"/>
                <w:sz w:val="21"/>
                <w:b/>
                <w:color w:val="000000"/>
              </w:rPr>
              <w:t>1.5宣传牌</w:t>
            </w:r>
          </w:p>
          <w:p>
            <w:pPr>
              <w:pStyle w:val="null3"/>
              <w:spacing w:before="45" w:after="45"/>
              <w:ind w:firstLine="480"/>
              <w:jc w:val="left"/>
            </w:pPr>
            <w:r>
              <w:rPr>
                <w:rFonts w:ascii="仿宋_GB2312" w:hAnsi="仿宋_GB2312" w:cs="仿宋_GB2312" w:eastAsia="仿宋_GB2312"/>
              </w:rPr>
              <w:t>宣传牌为长6米×宽3米的钢架结构，宣传牌上应标明“绿色碳库”示范项目名称、四至范围（有条件时可绘四至范围图）、建设面积、批准单位、设计单位、主要措施、实施单位、管护责任人、建设时间及管护制度等内容。</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rPr>
                    <w:t>宣传牌样式</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汉中市西乡县</w:t>
                  </w:r>
                  <w:r>
                    <w:rPr>
                      <w:rFonts w:ascii="仿宋_GB2312" w:hAnsi="仿宋_GB2312" w:cs="仿宋_GB2312" w:eastAsia="仿宋_GB2312"/>
                      <w:sz w:val="24"/>
                    </w:rPr>
                    <w:t>2025年度省级林业草原改革发展资金“百万亩绿色碳库”示范基地项目</w:t>
                  </w:r>
                </w:p>
                <w:p>
                  <w:pPr>
                    <w:pStyle w:val="null3"/>
                    <w:ind w:firstLine="480"/>
                    <w:jc w:val="both"/>
                  </w:pPr>
                  <w:r>
                    <w:rPr>
                      <w:rFonts w:ascii="仿宋_GB2312" w:hAnsi="仿宋_GB2312" w:cs="仿宋_GB2312" w:eastAsia="仿宋_GB2312"/>
                      <w:sz w:val="24"/>
                    </w:rPr>
                    <w:t>建设地点：骆家坝镇张家坝村作业区</w:t>
                  </w:r>
                </w:p>
                <w:p>
                  <w:pPr>
                    <w:pStyle w:val="null3"/>
                    <w:ind w:firstLine="480"/>
                    <w:jc w:val="both"/>
                  </w:pPr>
                  <w:r>
                    <w:rPr>
                      <w:rFonts w:ascii="仿宋_GB2312" w:hAnsi="仿宋_GB2312" w:cs="仿宋_GB2312" w:eastAsia="仿宋_GB2312"/>
                      <w:sz w:val="24"/>
                    </w:rPr>
                    <w:t>建设单位：西乡县林业局</w:t>
                  </w:r>
                </w:p>
                <w:p>
                  <w:pPr>
                    <w:pStyle w:val="null3"/>
                    <w:ind w:firstLine="480"/>
                    <w:jc w:val="both"/>
                  </w:pPr>
                  <w:r>
                    <w:rPr>
                      <w:rFonts w:ascii="仿宋_GB2312" w:hAnsi="仿宋_GB2312" w:cs="仿宋_GB2312" w:eastAsia="仿宋_GB2312"/>
                      <w:sz w:val="24"/>
                    </w:rPr>
                    <w:t>项目基本情况：西乡县</w:t>
                  </w:r>
                  <w:r>
                    <w:rPr>
                      <w:rFonts w:ascii="仿宋_GB2312" w:hAnsi="仿宋_GB2312" w:cs="仿宋_GB2312" w:eastAsia="仿宋_GB2312"/>
                      <w:sz w:val="24"/>
                    </w:rPr>
                    <w:t>“百万亩绿色碳库”试点示范项目位于西乡县骆家坝镇张家坝村，实施范围为东经107°25'34"—107°27'11"，北纬32°51'15"—36°52'18"。</w:t>
                  </w:r>
                </w:p>
                <w:p>
                  <w:pPr>
                    <w:pStyle w:val="null3"/>
                    <w:ind w:firstLine="480"/>
                    <w:jc w:val="both"/>
                  </w:pPr>
                  <w:r>
                    <w:rPr>
                      <w:rFonts w:ascii="仿宋_GB2312" w:hAnsi="仿宋_GB2312" w:cs="仿宋_GB2312" w:eastAsia="仿宋_GB2312"/>
                      <w:sz w:val="24"/>
                    </w:rPr>
                    <w:t>主要建设内容：作业区实施中幼龄林抚育</w:t>
                  </w:r>
                  <w:r>
                    <w:rPr>
                      <w:rFonts w:ascii="仿宋_GB2312" w:hAnsi="仿宋_GB2312" w:cs="仿宋_GB2312" w:eastAsia="仿宋_GB2312"/>
                      <w:sz w:val="24"/>
                    </w:rPr>
                    <w:t>10431亩，新建碳汇计量监测点4组（智能化监测样地1组、常规监测样地3组）。</w:t>
                  </w:r>
                </w:p>
                <w:p>
                  <w:pPr>
                    <w:pStyle w:val="null3"/>
                    <w:ind w:firstLine="480"/>
                    <w:jc w:val="both"/>
                  </w:pPr>
                  <w:r>
                    <w:rPr>
                      <w:rFonts w:ascii="仿宋_GB2312" w:hAnsi="仿宋_GB2312" w:cs="仿宋_GB2312" w:eastAsia="仿宋_GB2312"/>
                      <w:sz w:val="24"/>
                    </w:rPr>
                    <w:t>主要技术措施：</w:t>
                  </w:r>
                  <w:r>
                    <w:rPr>
                      <w:rFonts w:ascii="仿宋_GB2312" w:hAnsi="仿宋_GB2312" w:cs="仿宋_GB2312" w:eastAsia="仿宋_GB2312"/>
                      <w:sz w:val="24"/>
                    </w:rPr>
                    <w:t>①疏伐+修枝+割灌；措施②透光伐+修枝+割灌；③补植+修枝+割灌。</w:t>
                  </w:r>
                </w:p>
                <w:p>
                  <w:pPr>
                    <w:pStyle w:val="null3"/>
                    <w:ind w:firstLine="480"/>
                    <w:jc w:val="both"/>
                  </w:pPr>
                  <w:r>
                    <w:rPr>
                      <w:rFonts w:ascii="仿宋_GB2312" w:hAnsi="仿宋_GB2312" w:cs="仿宋_GB2312" w:eastAsia="仿宋_GB2312"/>
                      <w:sz w:val="24"/>
                    </w:rPr>
                    <w:t>施工单位：</w:t>
                  </w:r>
                </w:p>
                <w:p>
                  <w:pPr>
                    <w:pStyle w:val="null3"/>
                    <w:ind w:firstLine="480"/>
                    <w:jc w:val="both"/>
                  </w:pPr>
                  <w:r>
                    <w:rPr>
                      <w:rFonts w:ascii="仿宋_GB2312" w:hAnsi="仿宋_GB2312" w:cs="仿宋_GB2312" w:eastAsia="仿宋_GB2312"/>
                      <w:sz w:val="24"/>
                    </w:rPr>
                    <w:t>建设日期：</w:t>
                  </w:r>
                </w:p>
              </w:tc>
            </w:tr>
          </w:tbl>
          <w:p>
            <w:pPr>
              <w:pStyle w:val="null3"/>
              <w:ind w:left="3120"/>
              <w:jc w:val="both"/>
            </w:pPr>
            <w:r>
              <w:rPr>
                <w:rFonts w:ascii="仿宋_GB2312" w:hAnsi="仿宋_GB2312" w:cs="仿宋_GB2312" w:eastAsia="仿宋_GB2312"/>
                <w:sz w:val="24"/>
                <w:b/>
              </w:rPr>
              <w:t>宣传牌位置坐标表</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中幼龄林抚育</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107°25'40.246"E</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32°51'12.802"N</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color w:val="000000"/>
              </w:rPr>
              <w:t>附表：</w:t>
            </w:r>
          </w:p>
          <w:p>
            <w:pPr>
              <w:pStyle w:val="null3"/>
              <w:jc w:val="center"/>
            </w:pPr>
            <w:r>
              <w:rPr>
                <w:rFonts w:ascii="仿宋_GB2312" w:hAnsi="仿宋_GB2312" w:cs="仿宋_GB2312" w:eastAsia="仿宋_GB2312"/>
                <w:sz w:val="24"/>
                <w:b/>
                <w:color w:val="000000"/>
              </w:rPr>
              <w:t>中幼龄林抚育作业量汇总表</w:t>
            </w:r>
          </w:p>
          <w:tbl>
            <w:tblPr>
              <w:tblBorders>
                <w:top w:val="none" w:color="000000" w:sz="4"/>
                <w:left w:val="none" w:color="000000" w:sz="4"/>
                <w:bottom w:val="none" w:color="000000" w:sz="4"/>
                <w:right w:val="none" w:color="000000" w:sz="4"/>
                <w:insideH w:val="none"/>
                <w:insideV w:val="none"/>
              </w:tblBorders>
            </w:tblPr>
            <w:tblGrid>
              <w:gridCol w:w="103"/>
              <w:gridCol w:w="166"/>
              <w:gridCol w:w="136"/>
              <w:gridCol w:w="131"/>
              <w:gridCol w:w="245"/>
              <w:gridCol w:w="175"/>
              <w:gridCol w:w="189"/>
              <w:gridCol w:w="119"/>
              <w:gridCol w:w="189"/>
              <w:gridCol w:w="150"/>
              <w:gridCol w:w="189"/>
              <w:gridCol w:w="136"/>
              <w:gridCol w:w="136"/>
              <w:gridCol w:w="136"/>
              <w:gridCol w:w="162"/>
              <w:gridCol w:w="189"/>
            </w:tblGrid>
            <w:tr>
              <w:tc>
                <w:tcPr>
                  <w:tcW w:type="dxa" w:w="1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小班</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作业面积</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亩</w:t>
                  </w:r>
                  <w:r>
                    <w:rPr>
                      <w:rFonts w:ascii="仿宋_GB2312" w:hAnsi="仿宋_GB2312" w:cs="仿宋_GB2312" w:eastAsia="仿宋_GB2312"/>
                      <w:sz w:val="18"/>
                      <w:b/>
                      <w:color w:val="000000"/>
                    </w:rPr>
                    <w:t>)</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龄组</w:t>
                  </w:r>
                </w:p>
              </w:tc>
              <w:tc>
                <w:tcPr>
                  <w:tcW w:type="dxa" w:w="1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抚育方式</w:t>
                  </w:r>
                </w:p>
              </w:tc>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抚育方法</w:t>
                  </w:r>
                </w:p>
              </w:tc>
              <w:tc>
                <w:tcPr>
                  <w:tcW w:type="dxa" w:w="1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培育树种</w:t>
                  </w:r>
                </w:p>
              </w:tc>
              <w:tc>
                <w:tcPr>
                  <w:tcW w:type="dxa" w:w="4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补植作业</w:t>
                  </w:r>
                </w:p>
              </w:tc>
              <w:tc>
                <w:tcPr>
                  <w:tcW w:type="dxa" w:w="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修枝株数（株</w:t>
                  </w:r>
                  <w:r>
                    <w:rPr>
                      <w:rFonts w:ascii="仿宋_GB2312" w:hAnsi="仿宋_GB2312" w:cs="仿宋_GB2312" w:eastAsia="仿宋_GB2312"/>
                      <w:sz w:val="18"/>
                      <w:b/>
                      <w:color w:val="000000"/>
                    </w:rPr>
                    <w:t>/亩）</w:t>
                  </w:r>
                </w:p>
              </w:tc>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总修枝株数（株）</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割灌强度</w:t>
                  </w:r>
                </w:p>
              </w:tc>
              <w:tc>
                <w:tcPr>
                  <w:tcW w:type="dxa" w:w="623"/>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抚育间伐作业</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面积（亩）</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树种</w:t>
                  </w: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株数（株）</w:t>
                  </w: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采伐强度</w:t>
                  </w:r>
                </w:p>
              </w:tc>
              <w:tc>
                <w:tcPr>
                  <w:tcW w:type="dxa" w:w="35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采伐量</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株数强度</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蓄积强度</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每亩采伐株数（株</w:t>
                  </w:r>
                  <w:r>
                    <w:rPr>
                      <w:rFonts w:ascii="仿宋_GB2312" w:hAnsi="仿宋_GB2312" w:cs="仿宋_GB2312" w:eastAsia="仿宋_GB2312"/>
                      <w:sz w:val="18"/>
                      <w:b/>
                      <w:color w:val="000000"/>
                    </w:rPr>
                    <w:t>/亩）</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采伐株数</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株</w:t>
                  </w:r>
                  <w:r>
                    <w:rPr>
                      <w:rFonts w:ascii="仿宋_GB2312" w:hAnsi="仿宋_GB2312" w:cs="仿宋_GB2312" w:eastAsia="仿宋_GB2312"/>
                      <w:sz w:val="18"/>
                      <w:b/>
                      <w:color w:val="000000"/>
                    </w:rPr>
                    <w:t>)</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10431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2825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332989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162819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4525</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4734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8698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4639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3172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3610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5292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3366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3532</w:t>
                  </w:r>
                </w:p>
              </w:tc>
            </w:tr>
          </w:tbl>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标的名称：中幼龄林抚育2307亩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1.1抚育范围及对象</w:t>
            </w:r>
          </w:p>
          <w:p>
            <w:pPr>
              <w:pStyle w:val="null3"/>
              <w:jc w:val="left"/>
            </w:pPr>
            <w:r>
              <w:rPr>
                <w:rFonts w:ascii="仿宋_GB2312" w:hAnsi="仿宋_GB2312" w:cs="仿宋_GB2312" w:eastAsia="仿宋_GB2312"/>
              </w:rPr>
              <w:t>作业区位于西乡县骆家坝镇张家坝村，37-44,54-57号小班，共12个小班，作业面积2307亩（详见中幼龄林抚育作业量汇总表）。项目区所属地类均为乔木林地，龄组为中幼龄林，优势树种主要以栎类、马尾松、板栗为主，作业区部分小班内林冠下杂灌从生，幼树生长受灌草压制，灌木盖度达到15%-35%，藤本交错缠绕，枝条密集、交叉重叠，结构简单，林分稳定性、抗逆能力较差，部分区域存在林窗和林中空地。</w:t>
            </w:r>
          </w:p>
          <w:p>
            <w:pPr>
              <w:pStyle w:val="null3"/>
              <w:jc w:val="left"/>
            </w:pPr>
            <w:r>
              <w:rPr>
                <w:rFonts w:ascii="仿宋_GB2312" w:hAnsi="仿宋_GB2312" w:cs="仿宋_GB2312" w:eastAsia="仿宋_GB2312"/>
                <w:sz w:val="21"/>
                <w:b/>
                <w:color w:val="000000"/>
              </w:rPr>
              <w:t>1.2抚育方式</w:t>
            </w:r>
          </w:p>
          <w:p>
            <w:pPr>
              <w:pStyle w:val="null3"/>
              <w:jc w:val="left"/>
            </w:pPr>
            <w:r>
              <w:rPr>
                <w:rFonts w:ascii="仿宋_GB2312" w:hAnsi="仿宋_GB2312" w:cs="仿宋_GB2312" w:eastAsia="仿宋_GB2312"/>
              </w:rPr>
              <w:t>1. 疏伐+修枝+割灌</w:t>
            </w:r>
          </w:p>
          <w:p>
            <w:pPr>
              <w:pStyle w:val="null3"/>
            </w:pPr>
            <w:r>
              <w:rPr>
                <w:rFonts w:ascii="仿宋_GB2312" w:hAnsi="仿宋_GB2312" w:cs="仿宋_GB2312" w:eastAsia="仿宋_GB2312"/>
              </w:rPr>
              <w:t>1）培育树种：栓皮栎、马尾松、板栗。</w:t>
            </w:r>
          </w:p>
          <w:p>
            <w:pPr>
              <w:pStyle w:val="null3"/>
            </w:pPr>
            <w:r>
              <w:rPr>
                <w:rFonts w:ascii="仿宋_GB2312" w:hAnsi="仿宋_GB2312" w:cs="仿宋_GB2312" w:eastAsia="仿宋_GB2312"/>
              </w:rPr>
              <w:t>2）林分特点：以栓皮栎、马尾松、板栗为优势树种，林分郁闭度为0.80~0.85之间；林分密度较大、林内杂乱，劣势木较多；林木平均胸径9.3—10.9，树高8.4—9.5米；林下灌木较多，有马桑、盐肤木、连翘、胡枝子、卫矛、山胡椒等，灌草盖度为30-35%。</w:t>
            </w:r>
          </w:p>
          <w:p>
            <w:pPr>
              <w:pStyle w:val="null3"/>
            </w:pPr>
            <w:r>
              <w:rPr>
                <w:rFonts w:ascii="仿宋_GB2312" w:hAnsi="仿宋_GB2312" w:cs="仿宋_GB2312" w:eastAsia="仿宋_GB2312"/>
              </w:rPr>
              <w:t>3）采伐强度：采伐株数强度为15～20%，采伐蓄积强度10~12%，每亩采伐株数16～24株。</w:t>
            </w:r>
          </w:p>
          <w:p>
            <w:pPr>
              <w:pStyle w:val="null3"/>
            </w:pPr>
            <w:r>
              <w:rPr>
                <w:rFonts w:ascii="仿宋_GB2312" w:hAnsi="仿宋_GB2312" w:cs="仿宋_GB2312" w:eastAsia="仿宋_GB2312"/>
              </w:rPr>
              <w:t>4）修枝株数：31~34株/亩。</w:t>
            </w:r>
          </w:p>
          <w:p>
            <w:pPr>
              <w:pStyle w:val="null3"/>
            </w:pPr>
            <w:r>
              <w:rPr>
                <w:rFonts w:ascii="仿宋_GB2312" w:hAnsi="仿宋_GB2312" w:cs="仿宋_GB2312" w:eastAsia="仿宋_GB2312"/>
              </w:rPr>
              <w:t>5）割灌对象：割除影响目的树种幼树幼苗生长的杂灌杂草，割去除珍稀藤本外影响目标树的杂藤。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2. 透光伐+修枝+割灌</w:t>
            </w:r>
          </w:p>
          <w:p>
            <w:pPr>
              <w:pStyle w:val="null3"/>
            </w:pPr>
            <w:r>
              <w:rPr>
                <w:rFonts w:ascii="仿宋_GB2312" w:hAnsi="仿宋_GB2312" w:cs="仿宋_GB2312" w:eastAsia="仿宋_GB2312"/>
              </w:rPr>
              <w:t>1）培育树种：栓皮栎。</w:t>
            </w:r>
          </w:p>
          <w:p>
            <w:pPr>
              <w:pStyle w:val="null3"/>
            </w:pPr>
            <w:r>
              <w:rPr>
                <w:rFonts w:ascii="仿宋_GB2312" w:hAnsi="仿宋_GB2312" w:cs="仿宋_GB2312" w:eastAsia="仿宋_GB2312"/>
              </w:rPr>
              <w:t>2）林分特点：以栓皮栎为优势树种的幼龄林，林分郁闭度为0.80；林内透光条件差，林木生长空间不足，单株林木长势缓慢，作业区部分区域林分杂乱，林内杂灌杂草覆盖度高；林木平均胸径9.1—9.8，树高8.2—8.6米；林下灌木较多，有盐肤木、连翘、胡枝子、卫矛、山胡椒等，灌草盖度为28-32%。</w:t>
            </w:r>
          </w:p>
          <w:p>
            <w:pPr>
              <w:pStyle w:val="null3"/>
            </w:pPr>
            <w:r>
              <w:rPr>
                <w:rFonts w:ascii="仿宋_GB2312" w:hAnsi="仿宋_GB2312" w:cs="仿宋_GB2312" w:eastAsia="仿宋_GB2312"/>
              </w:rPr>
              <w:t>3）采伐强度：采伐株数强度为15～18%，采伐蓄积强度7~9%，每亩采伐株数16～22株。。</w:t>
            </w:r>
          </w:p>
          <w:p>
            <w:pPr>
              <w:pStyle w:val="null3"/>
            </w:pPr>
            <w:r>
              <w:rPr>
                <w:rFonts w:ascii="仿宋_GB2312" w:hAnsi="仿宋_GB2312" w:cs="仿宋_GB2312" w:eastAsia="仿宋_GB2312"/>
              </w:rPr>
              <w:t>4）修枝株数：29~34株/亩。</w:t>
            </w:r>
          </w:p>
          <w:p>
            <w:pPr>
              <w:pStyle w:val="null3"/>
            </w:pPr>
            <w:r>
              <w:rPr>
                <w:rFonts w:ascii="仿宋_GB2312" w:hAnsi="仿宋_GB2312" w:cs="仿宋_GB2312" w:eastAsia="仿宋_GB2312"/>
              </w:rPr>
              <w:t>5）割灌对象：割除影响目的树种幼树幼苗生长的杂灌杂草，割去除珍稀藤本外影响目标树种的杂藤。</w:t>
            </w:r>
          </w:p>
          <w:p>
            <w:pPr>
              <w:pStyle w:val="null3"/>
            </w:pPr>
            <w:r>
              <w:rPr>
                <w:rFonts w:ascii="仿宋_GB2312" w:hAnsi="仿宋_GB2312" w:cs="仿宋_GB2312" w:eastAsia="仿宋_GB2312"/>
              </w:rPr>
              <w:t>6）用工内容：采伐、修枝、割灌。</w:t>
            </w:r>
          </w:p>
          <w:p>
            <w:pPr>
              <w:pStyle w:val="null3"/>
            </w:pPr>
            <w:r>
              <w:rPr>
                <w:rFonts w:ascii="仿宋_GB2312" w:hAnsi="仿宋_GB2312" w:cs="仿宋_GB2312" w:eastAsia="仿宋_GB2312"/>
              </w:rPr>
              <w:t>3. 补植+修枝+割灌</w:t>
            </w:r>
          </w:p>
          <w:p>
            <w:pPr>
              <w:pStyle w:val="null3"/>
            </w:pPr>
            <w:r>
              <w:rPr>
                <w:rFonts w:ascii="仿宋_GB2312" w:hAnsi="仿宋_GB2312" w:cs="仿宋_GB2312" w:eastAsia="仿宋_GB2312"/>
              </w:rPr>
              <w:t>1）补植树种：七叶树。</w:t>
            </w:r>
          </w:p>
          <w:p>
            <w:pPr>
              <w:pStyle w:val="null3"/>
            </w:pPr>
            <w:r>
              <w:rPr>
                <w:rFonts w:ascii="仿宋_GB2312" w:hAnsi="仿宋_GB2312" w:cs="仿宋_GB2312" w:eastAsia="仿宋_GB2312"/>
              </w:rPr>
              <w:t>2）林分特点：以栓皮栎、马尾松为优势树种的中幼龄林，针阔混交，阔叶树占比较大，林分郁闭度为0.70；存在林窗与林间空地；林木平均胸径9.0—10.7厘米，平均树高8.3—9.4米之间；林下灌木较少，主要有卫矛、木槿、马桑、连翘等，灌草盖度为25-30%。</w:t>
            </w:r>
          </w:p>
          <w:p>
            <w:pPr>
              <w:pStyle w:val="null3"/>
            </w:pPr>
            <w:r>
              <w:rPr>
                <w:rFonts w:ascii="仿宋_GB2312" w:hAnsi="仿宋_GB2312" w:cs="仿宋_GB2312" w:eastAsia="仿宋_GB2312"/>
              </w:rPr>
              <w:t>3）整地方式：穴状整地，40×40×40cm。</w:t>
            </w:r>
          </w:p>
          <w:p>
            <w:pPr>
              <w:pStyle w:val="null3"/>
            </w:pPr>
            <w:r>
              <w:rPr>
                <w:rFonts w:ascii="仿宋_GB2312" w:hAnsi="仿宋_GB2312" w:cs="仿宋_GB2312" w:eastAsia="仿宋_GB2312"/>
              </w:rPr>
              <w:t>4）补植密度：20-25株/亩。</w:t>
            </w:r>
          </w:p>
          <w:p>
            <w:pPr>
              <w:pStyle w:val="null3"/>
            </w:pPr>
            <w:r>
              <w:rPr>
                <w:rFonts w:ascii="仿宋_GB2312" w:hAnsi="仿宋_GB2312" w:cs="仿宋_GB2312" w:eastAsia="仿宋_GB2312"/>
              </w:rPr>
              <w:t>5）修枝株数：31~35株/亩。</w:t>
            </w:r>
          </w:p>
          <w:p>
            <w:pPr>
              <w:pStyle w:val="null3"/>
            </w:pPr>
            <w:r>
              <w:rPr>
                <w:rFonts w:ascii="仿宋_GB2312" w:hAnsi="仿宋_GB2312" w:cs="仿宋_GB2312" w:eastAsia="仿宋_GB2312"/>
              </w:rPr>
              <w:t>6）割灌对象：割除影响目的树种幼树幼苗生长的杂灌杂草，割去除珍稀藤本外影响目标树种的杂藤。</w:t>
            </w:r>
          </w:p>
          <w:p>
            <w:pPr>
              <w:pStyle w:val="null3"/>
            </w:pPr>
            <w:r>
              <w:rPr>
                <w:rFonts w:ascii="仿宋_GB2312" w:hAnsi="仿宋_GB2312" w:cs="仿宋_GB2312" w:eastAsia="仿宋_GB2312"/>
              </w:rPr>
              <w:t>7）用工内容：林地清理、整地、栽植、管护、修枝、割灌。</w:t>
            </w:r>
          </w:p>
          <w:p>
            <w:pPr>
              <w:pStyle w:val="null3"/>
            </w:pPr>
            <w:r>
              <w:rPr>
                <w:rFonts w:ascii="仿宋_GB2312" w:hAnsi="仿宋_GB2312" w:cs="仿宋_GB2312" w:eastAsia="仿宋_GB2312"/>
                <w:sz w:val="21"/>
                <w:b/>
              </w:rPr>
              <w:t>1.3抚育作业工序流程</w:t>
            </w:r>
          </w:p>
          <w:p>
            <w:pPr>
              <w:pStyle w:val="null3"/>
              <w:ind w:firstLine="480"/>
              <w:jc w:val="left"/>
            </w:pPr>
            <w:r>
              <w:rPr>
                <w:rFonts w:ascii="仿宋_GB2312" w:hAnsi="仿宋_GB2312" w:cs="仿宋_GB2312" w:eastAsia="仿宋_GB2312"/>
              </w:rPr>
              <w:t>中幼龄林抚育工序大致分为施工准备、施工阶段和施工验收三个阶段。</w:t>
            </w:r>
          </w:p>
          <w:p>
            <w:pPr>
              <w:pStyle w:val="null3"/>
            </w:pPr>
            <w:r>
              <w:rPr>
                <w:rFonts w:ascii="仿宋_GB2312" w:hAnsi="仿宋_GB2312" w:cs="仿宋_GB2312" w:eastAsia="仿宋_GB2312"/>
              </w:rPr>
              <w:t>（1）技术培训与现场管理</w:t>
            </w:r>
          </w:p>
          <w:p>
            <w:pPr>
              <w:pStyle w:val="null3"/>
            </w:pPr>
            <w:r>
              <w:rPr>
                <w:rFonts w:ascii="仿宋_GB2312" w:hAnsi="仿宋_GB2312" w:cs="仿宋_GB2312" w:eastAsia="仿宋_GB2312"/>
              </w:rPr>
              <w:t>由西乡县林业局组织对参与中幼龄林抚育的施工人员进行岗前培训，培训内容为任务目标及实施要求，中幼龄林抚育技术及操作要点，强调施工安全。</w:t>
            </w:r>
          </w:p>
          <w:p>
            <w:pPr>
              <w:pStyle w:val="null3"/>
            </w:pPr>
            <w:r>
              <w:rPr>
                <w:rFonts w:ascii="仿宋_GB2312" w:hAnsi="仿宋_GB2312" w:cs="仿宋_GB2312" w:eastAsia="仿宋_GB2312"/>
              </w:rPr>
              <w:t>施工期间“四员”和安全员必须在场，确保施工规范，安全施工，抚育作业按要求完成。</w:t>
            </w:r>
          </w:p>
          <w:p>
            <w:pPr>
              <w:pStyle w:val="null3"/>
            </w:pPr>
            <w:r>
              <w:rPr>
                <w:rFonts w:ascii="仿宋_GB2312" w:hAnsi="仿宋_GB2312" w:cs="仿宋_GB2312" w:eastAsia="仿宋_GB2312"/>
              </w:rPr>
              <w:t>（2）作业方式</w:t>
            </w:r>
          </w:p>
          <w:p>
            <w:pPr>
              <w:pStyle w:val="null3"/>
            </w:pPr>
            <w:r>
              <w:rPr>
                <w:rFonts w:ascii="仿宋_GB2312" w:hAnsi="仿宋_GB2312" w:cs="仿宋_GB2312" w:eastAsia="仿宋_GB2312"/>
              </w:rPr>
              <w:t>根据当地地形特点和资源状况，中幼龄林抚育疏伐、透光伐、修枝、割灌、补植等作业工序，均采用人力方式。</w:t>
            </w:r>
          </w:p>
          <w:p>
            <w:pPr>
              <w:pStyle w:val="null3"/>
            </w:pPr>
            <w:r>
              <w:rPr>
                <w:rFonts w:ascii="仿宋_GB2312" w:hAnsi="仿宋_GB2312" w:cs="仿宋_GB2312" w:eastAsia="仿宋_GB2312"/>
              </w:rPr>
              <w:t>①标界：在指定作业小班区域后，施工技术人员按照设计图纸沿周界采用打桩或用红漆在固定物标注等形式确定施工作业小班的周界。</w:t>
            </w:r>
          </w:p>
          <w:p>
            <w:pPr>
              <w:pStyle w:val="null3"/>
            </w:pPr>
            <w:r>
              <w:rPr>
                <w:rFonts w:ascii="仿宋_GB2312" w:hAnsi="仿宋_GB2312" w:cs="仿宋_GB2312" w:eastAsia="仿宋_GB2312"/>
              </w:rPr>
              <w:t>②打号：抚育作业前，打号员应根据作业设计，用红油漆对抚育木进行打号。</w:t>
            </w:r>
          </w:p>
          <w:p>
            <w:pPr>
              <w:pStyle w:val="null3"/>
            </w:pPr>
            <w:r>
              <w:rPr>
                <w:rFonts w:ascii="仿宋_GB2312" w:hAnsi="仿宋_GB2312" w:cs="仿宋_GB2312" w:eastAsia="仿宋_GB2312"/>
              </w:rPr>
              <w:t>③采伐：按照当地林木采伐限额管理制度，办理林木采伐许可证后方可施工。依据“砍劣留优、砍密留匀、分布均匀、疏密适度”的原则，在郁闭度≥0.80的乔木林中，疏伐优先采伐濒死木、枯死木以及生长落后、径级较小的劣势木、个别粗大的干形不良木以及影响目标树生长的干扰树，采伐株数强度按15%—20%，蓄积强度按10%—12%。采伐木顺序为：干扰树、（必要时）其他树；保留木顺序为：目标树、辅助树、其他树；透光伐优先采伐幼龄林阶段影响目的树种遮阴的林木，采伐株数强度按15%—18%，蓄积强度按7%—9%。采伐后，林分郁闭度不低于0.6，林木分布均匀，不造成林中空地和林窗。</w:t>
            </w:r>
          </w:p>
          <w:p>
            <w:pPr>
              <w:pStyle w:val="null3"/>
            </w:pPr>
            <w:r>
              <w:rPr>
                <w:rFonts w:ascii="仿宋_GB2312" w:hAnsi="仿宋_GB2312" w:cs="仿宋_GB2312" w:eastAsia="仿宋_GB2312"/>
              </w:rPr>
              <w:t>④补植</w:t>
            </w:r>
          </w:p>
          <w:p>
            <w:pPr>
              <w:pStyle w:val="null3"/>
            </w:pPr>
            <w:r>
              <w:rPr>
                <w:rFonts w:ascii="仿宋_GB2312" w:hAnsi="仿宋_GB2312" w:cs="仿宋_GB2312" w:eastAsia="仿宋_GB2312"/>
              </w:rPr>
              <w:t>a、补植对象</w:t>
            </w:r>
          </w:p>
          <w:p>
            <w:pPr>
              <w:pStyle w:val="null3"/>
            </w:pPr>
            <w:r>
              <w:rPr>
                <w:rFonts w:ascii="仿宋_GB2312" w:hAnsi="仿宋_GB2312" w:cs="仿宋_GB2312" w:eastAsia="仿宋_GB2312"/>
              </w:rPr>
              <w:t>主要在林中含有大于25平方米的林中空地，林窗较大区域补植。</w:t>
            </w:r>
          </w:p>
          <w:p>
            <w:pPr>
              <w:pStyle w:val="null3"/>
            </w:pPr>
            <w:r>
              <w:rPr>
                <w:rFonts w:ascii="仿宋_GB2312" w:hAnsi="仿宋_GB2312" w:cs="仿宋_GB2312" w:eastAsia="仿宋_GB2312"/>
              </w:rPr>
              <w:t>b、补植树种及密度</w:t>
            </w:r>
          </w:p>
          <w:p>
            <w:pPr>
              <w:pStyle w:val="null3"/>
            </w:pPr>
            <w:r>
              <w:rPr>
                <w:rFonts w:ascii="仿宋_GB2312" w:hAnsi="仿宋_GB2312" w:cs="仿宋_GB2312" w:eastAsia="仿宋_GB2312"/>
              </w:rPr>
              <w:t>根据现地调查，确定补植树种为七叶树。选用H≥200cm，胸径≥2.0cm的土球苗（土球规格≥18㎝），苗木等级为“I”苗木，补植密度20-25株/亩，GGR用量1克/亩。</w:t>
            </w:r>
          </w:p>
          <w:p>
            <w:pPr>
              <w:pStyle w:val="null3"/>
            </w:pPr>
            <w:r>
              <w:rPr>
                <w:rFonts w:ascii="仿宋_GB2312" w:hAnsi="仿宋_GB2312" w:cs="仿宋_GB2312" w:eastAsia="仿宋_GB2312"/>
              </w:rPr>
              <w:t>c、林地清理</w:t>
            </w:r>
          </w:p>
          <w:p>
            <w:pPr>
              <w:pStyle w:val="null3"/>
            </w:pPr>
            <w:r>
              <w:rPr>
                <w:rFonts w:ascii="仿宋_GB2312" w:hAnsi="仿宋_GB2312" w:cs="仿宋_GB2312" w:eastAsia="仿宋_GB2312"/>
              </w:rPr>
              <w:t>补植同造林一样，采用局部清理方式，对栽植点1米范围内影响幼苗生长的植被进行清理，清理时应尽量减少对地表原有幼树幼苗和林地土壤的破坏。</w:t>
            </w:r>
          </w:p>
          <w:p>
            <w:pPr>
              <w:pStyle w:val="null3"/>
            </w:pPr>
            <w:r>
              <w:rPr>
                <w:rFonts w:ascii="仿宋_GB2312" w:hAnsi="仿宋_GB2312" w:cs="仿宋_GB2312" w:eastAsia="仿宋_GB2312"/>
              </w:rPr>
              <w:t>d、整地</w:t>
            </w:r>
          </w:p>
          <w:p>
            <w:pPr>
              <w:pStyle w:val="null3"/>
            </w:pPr>
            <w:r>
              <w:rPr>
                <w:rFonts w:ascii="仿宋_GB2312" w:hAnsi="仿宋_GB2312" w:cs="仿宋_GB2312" w:eastAsia="仿宋_GB2312"/>
              </w:rPr>
              <w:t>整地同造林一样，应遵循因地制宜的原则，以蓄水保土为目的。整地方式采用穴状整地，整地规格为40×40×40厘米。根据项目区自然条件和多年造林经验，整地时间应在造林前1个季度进行。</w:t>
            </w:r>
          </w:p>
          <w:p>
            <w:pPr>
              <w:pStyle w:val="null3"/>
            </w:pPr>
            <w:r>
              <w:rPr>
                <w:rFonts w:ascii="仿宋_GB2312" w:hAnsi="仿宋_GB2312" w:cs="仿宋_GB2312" w:eastAsia="仿宋_GB2312"/>
              </w:rPr>
              <w:t>e、栽植</w:t>
            </w:r>
          </w:p>
          <w:p>
            <w:pPr>
              <w:pStyle w:val="null3"/>
            </w:pPr>
            <w:r>
              <w:rPr>
                <w:rFonts w:ascii="仿宋_GB2312" w:hAnsi="仿宋_GB2312" w:cs="仿宋_GB2312" w:eastAsia="仿宋_GB2312"/>
              </w:rPr>
              <w:t>同造林时间，可选择秋季或春季。秋季造林时间从秋末开始，至土壤封冻前停止，在10月中旬至11月下旬进行，春季造林时间宜在3月中旬至萌芽前进行。</w:t>
            </w:r>
          </w:p>
          <w:p>
            <w:pPr>
              <w:pStyle w:val="null3"/>
            </w:pPr>
            <w:r>
              <w:rPr>
                <w:rFonts w:ascii="仿宋_GB2312" w:hAnsi="仿宋_GB2312" w:cs="仿宋_GB2312" w:eastAsia="仿宋_GB2312"/>
              </w:rPr>
              <w:t>栽植前先在穴底回填表土，垫至离地面10—20厘米处为止，再将心土与表土混合均匀填入坑内，最后将心土覆盖其上，直至将坑穴填满。可采用GGR蘸根措施，以提高造林成活率。栽植技术要领：扶正、栽直、分层填土、轻提苗木、分层压实，使苗木根系与土壤接触密实。</w:t>
            </w:r>
          </w:p>
          <w:p>
            <w:pPr>
              <w:pStyle w:val="null3"/>
            </w:pPr>
            <w:r>
              <w:rPr>
                <w:rFonts w:ascii="仿宋_GB2312" w:hAnsi="仿宋_GB2312" w:cs="仿宋_GB2312" w:eastAsia="仿宋_GB2312"/>
              </w:rPr>
              <w:t>f、其他</w:t>
            </w:r>
          </w:p>
          <w:p>
            <w:pPr>
              <w:pStyle w:val="null3"/>
            </w:pPr>
            <w:r>
              <w:rPr>
                <w:rFonts w:ascii="仿宋_GB2312" w:hAnsi="仿宋_GB2312" w:cs="仿宋_GB2312" w:eastAsia="仿宋_GB2312"/>
              </w:rPr>
              <w:t>补植当年成活率应达85%，补植过程中不损害林分中原有的幼苗幼树，补植整地方式尽量减少开挖面，减少对土壤的扰动，减少对地被物的破坏。</w:t>
            </w:r>
          </w:p>
          <w:p>
            <w:pPr>
              <w:pStyle w:val="null3"/>
            </w:pPr>
            <w:r>
              <w:rPr>
                <w:rFonts w:ascii="仿宋_GB2312" w:hAnsi="仿宋_GB2312" w:cs="仿宋_GB2312" w:eastAsia="仿宋_GB2312"/>
              </w:rPr>
              <w:t>⑤修枝：主要除去林木枯死枝、枯稍、林下轮生枝，一般修去树冠下部衰老的1轮—2轮活枝，阔叶树采用平切法、针叶树采用留桩法进行修枝。幼龄林阶段修枝后保留冠长不低于树高的2/3，中龄林阶段修枝后保留冠长不低于树高的1/2。枝桩修平，剪口不能伤害树干的韧皮部和木质部。采用留桩法进行修枝时，留1—3厘米的残桩，以免切口相连造成环状剥皮。采用平切法修枝时应紧贴枝条基部，不留茬。避免在雨季修枝，以免伤口不易愈合而感染病害，形成疤痕。树木二分叉，主干竞争枝，要坚决修掉。</w:t>
            </w:r>
          </w:p>
          <w:p>
            <w:pPr>
              <w:pStyle w:val="null3"/>
            </w:pPr>
            <w:r>
              <w:rPr>
                <w:rFonts w:ascii="仿宋_GB2312" w:hAnsi="仿宋_GB2312" w:cs="仿宋_GB2312" w:eastAsia="仿宋_GB2312"/>
              </w:rPr>
              <w:t>⑥割灌：利用镰刀、手锯等工具，割除影响目的树种幼苗幼树生长的，或目的树种幼苗幼树周围1米以内的杂灌和缠绕目标树种的藤蔓，提倡围绕目的树种幼苗幼树进行局部割灌，避免全面割灌，割灌时贴近地面切割，留茬高度不宜高于5厘米，对于大藤蔓，只需从根部断开，无需强行清理。</w:t>
            </w:r>
          </w:p>
          <w:p>
            <w:pPr>
              <w:pStyle w:val="null3"/>
            </w:pPr>
            <w:r>
              <w:rPr>
                <w:rFonts w:ascii="仿宋_GB2312" w:hAnsi="仿宋_GB2312" w:cs="仿宋_GB2312" w:eastAsia="仿宋_GB2312"/>
              </w:rPr>
              <w:t>⑦采伐剩余物处理：针对交通条件便利、立地条件较好的区域，将作业过程中产生的剩余物就地截短平铺在林内或按一定间距均匀堆放在林内，不能覆盖压埋幼树幼苗，不能影响保留木的生长；针对坡度陡、立地条件差的区域，可在目标树根部做反坡向的水肥坑并将采伐剩余物适当切碎埋于坑内。</w:t>
            </w:r>
          </w:p>
          <w:p>
            <w:pPr>
              <w:pStyle w:val="null3"/>
              <w:spacing w:before="45" w:after="45"/>
              <w:jc w:val="left"/>
            </w:pPr>
            <w:r>
              <w:rPr>
                <w:rFonts w:ascii="仿宋_GB2312" w:hAnsi="仿宋_GB2312" w:cs="仿宋_GB2312" w:eastAsia="仿宋_GB2312"/>
                <w:sz w:val="21"/>
                <w:b/>
                <w:color w:val="000000"/>
              </w:rPr>
              <w:t>1.4苗木标准</w:t>
            </w:r>
          </w:p>
          <w:p>
            <w:pPr>
              <w:pStyle w:val="null3"/>
              <w:spacing w:before="45" w:after="45"/>
              <w:ind w:firstLine="480"/>
              <w:jc w:val="left"/>
            </w:pPr>
            <w:r>
              <w:rPr>
                <w:rFonts w:ascii="仿宋_GB2312" w:hAnsi="仿宋_GB2312" w:cs="仿宋_GB2312" w:eastAsia="仿宋_GB2312"/>
              </w:rPr>
              <w:t>补植所用苗木全部采用由林木种苗管理部门组织供应或经其检验的具有“两证一签”（检疫合格证、检验合格证、标签）的I级苗木，优先使用当地苗木。苗木检验中要严格把关，选用植株健壮、苗干通直圆满、木质化程度高、根系发达而完整、具有完整饱满的顶芽、无机械损伤、无病虫害、不失水、有旺盛生命力的优质苗木。</w:t>
            </w:r>
          </w:p>
          <w:p>
            <w:pPr>
              <w:pStyle w:val="null3"/>
              <w:jc w:val="left"/>
            </w:pPr>
            <w:r>
              <w:rPr>
                <w:rFonts w:ascii="仿宋_GB2312" w:hAnsi="仿宋_GB2312" w:cs="仿宋_GB2312" w:eastAsia="仿宋_GB2312"/>
                <w:sz w:val="24"/>
                <w:color w:val="000000"/>
              </w:rPr>
              <w:t>附表：</w:t>
            </w:r>
          </w:p>
          <w:p>
            <w:pPr>
              <w:pStyle w:val="null3"/>
              <w:jc w:val="center"/>
            </w:pPr>
            <w:r>
              <w:rPr>
                <w:rFonts w:ascii="仿宋_GB2312" w:hAnsi="仿宋_GB2312" w:cs="仿宋_GB2312" w:eastAsia="仿宋_GB2312"/>
                <w:sz w:val="24"/>
                <w:b/>
                <w:color w:val="000000"/>
              </w:rPr>
              <w:t>中幼龄林抚育作业量汇总表</w:t>
            </w:r>
          </w:p>
          <w:tbl>
            <w:tblPr>
              <w:tblBorders>
                <w:top w:val="none" w:color="000000" w:sz="4"/>
                <w:left w:val="none" w:color="000000" w:sz="4"/>
                <w:bottom w:val="none" w:color="000000" w:sz="4"/>
                <w:right w:val="none" w:color="000000" w:sz="4"/>
                <w:insideH w:val="none"/>
                <w:insideV w:val="none"/>
              </w:tblBorders>
            </w:tblPr>
            <w:tblGrid>
              <w:gridCol w:w="103"/>
              <w:gridCol w:w="166"/>
              <w:gridCol w:w="136"/>
              <w:gridCol w:w="131"/>
              <w:gridCol w:w="245"/>
              <w:gridCol w:w="175"/>
              <w:gridCol w:w="189"/>
              <w:gridCol w:w="119"/>
              <w:gridCol w:w="189"/>
              <w:gridCol w:w="150"/>
              <w:gridCol w:w="189"/>
              <w:gridCol w:w="136"/>
              <w:gridCol w:w="136"/>
              <w:gridCol w:w="136"/>
              <w:gridCol w:w="162"/>
              <w:gridCol w:w="189"/>
            </w:tblGrid>
            <w:tr>
              <w:tc>
                <w:tcPr>
                  <w:tcW w:type="dxa" w:w="1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小班</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作业面积</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亩</w:t>
                  </w:r>
                  <w:r>
                    <w:rPr>
                      <w:rFonts w:ascii="仿宋_GB2312" w:hAnsi="仿宋_GB2312" w:cs="仿宋_GB2312" w:eastAsia="仿宋_GB2312"/>
                      <w:sz w:val="18"/>
                      <w:b/>
                      <w:color w:val="000000"/>
                    </w:rPr>
                    <w:t>)</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龄组</w:t>
                  </w:r>
                </w:p>
              </w:tc>
              <w:tc>
                <w:tcPr>
                  <w:tcW w:type="dxa" w:w="1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抚育方式</w:t>
                  </w:r>
                </w:p>
              </w:tc>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抚育方法</w:t>
                  </w:r>
                </w:p>
              </w:tc>
              <w:tc>
                <w:tcPr>
                  <w:tcW w:type="dxa" w:w="1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培育树种</w:t>
                  </w:r>
                </w:p>
              </w:tc>
              <w:tc>
                <w:tcPr>
                  <w:tcW w:type="dxa" w:w="4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补植作业</w:t>
                  </w:r>
                </w:p>
              </w:tc>
              <w:tc>
                <w:tcPr>
                  <w:tcW w:type="dxa" w:w="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修枝株数（株</w:t>
                  </w:r>
                  <w:r>
                    <w:rPr>
                      <w:rFonts w:ascii="仿宋_GB2312" w:hAnsi="仿宋_GB2312" w:cs="仿宋_GB2312" w:eastAsia="仿宋_GB2312"/>
                      <w:sz w:val="18"/>
                      <w:b/>
                      <w:color w:val="000000"/>
                    </w:rPr>
                    <w:t>/亩）</w:t>
                  </w:r>
                </w:p>
              </w:tc>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总修枝株数（株）</w:t>
                  </w:r>
                </w:p>
              </w:tc>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割灌强度</w:t>
                  </w:r>
                </w:p>
              </w:tc>
              <w:tc>
                <w:tcPr>
                  <w:tcW w:type="dxa" w:w="623"/>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抚育间伐作业</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面积（亩）</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树种</w:t>
                  </w:r>
                </w:p>
              </w:tc>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株数（株）</w:t>
                  </w: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采伐强度</w:t>
                  </w:r>
                </w:p>
              </w:tc>
              <w:tc>
                <w:tcPr>
                  <w:tcW w:type="dxa" w:w="35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采伐量</w:t>
                  </w:r>
                </w:p>
              </w:tc>
            </w:tr>
            <w:tr>
              <w:tc>
                <w:tcPr>
                  <w:tcW w:type="dxa" w:w="103"/>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1"/>
                  <w:vMerge/>
                  <w:tcBorders>
                    <w:top w:val="single" w:color="000000" w:sz="4"/>
                    <w:left w:val="single" w:color="000000" w:sz="4"/>
                    <w:bottom w:val="single" w:color="000000" w:sz="4"/>
                    <w:right w:val="single" w:color="000000" w:sz="4"/>
                  </w:tcBorders>
                </w:tcPr>
                <w:p/>
              </w:tc>
              <w:tc>
                <w:tcPr>
                  <w:tcW w:type="dxa" w:w="245"/>
                  <w:vMerge/>
                  <w:tcBorders>
                    <w:top w:val="single" w:color="000000" w:sz="4"/>
                    <w:left w:val="single" w:color="000000" w:sz="4"/>
                    <w:bottom w:val="single" w:color="000000" w:sz="4"/>
                    <w:right w:val="single" w:color="000000" w:sz="4"/>
                  </w:tcBorders>
                </w:tcPr>
                <w:p/>
              </w:tc>
              <w:tc>
                <w:tcPr>
                  <w:tcW w:type="dxa" w:w="175"/>
                  <w:vMerge/>
                  <w:tcBorders>
                    <w:top w:val="singl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189"/>
                  <w:vMerge/>
                  <w:tcBorders>
                    <w:top w:val="non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89"/>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株数强度</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蓄积强度</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每亩采伐株数（株</w:t>
                  </w:r>
                  <w:r>
                    <w:rPr>
                      <w:rFonts w:ascii="仿宋_GB2312" w:hAnsi="仿宋_GB2312" w:cs="仿宋_GB2312" w:eastAsia="仿宋_GB2312"/>
                      <w:sz w:val="18"/>
                      <w:b/>
                      <w:color w:val="000000"/>
                    </w:rPr>
                    <w:t>/亩）</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采伐株数</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株</w:t>
                  </w:r>
                  <w:r>
                    <w:rPr>
                      <w:rFonts w:ascii="仿宋_GB2312" w:hAnsi="仿宋_GB2312" w:cs="仿宋_GB2312" w:eastAsia="仿宋_GB2312"/>
                      <w:sz w:val="18"/>
                      <w:b/>
                      <w:color w:val="000000"/>
                    </w:rPr>
                    <w:t>)</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10431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2825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332989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162819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3059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2374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4525</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8567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7364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4734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7619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8698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4639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4871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3172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5577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6769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3610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6245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4460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6527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七叶树</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7949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3562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1900</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6890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4792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2644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2783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马尾松</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3777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9339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5292</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3417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1764</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2229</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2263</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7132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3451</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4428</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6124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3856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2387</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疏伐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3366</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幼龄林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综合抚育</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透光伐</w:t>
                  </w:r>
                  <w:r>
                    <w:rPr>
                      <w:rFonts w:ascii="仿宋_GB2312" w:hAnsi="仿宋_GB2312" w:cs="仿宋_GB2312" w:eastAsia="仿宋_GB2312"/>
                      <w:sz w:val="18"/>
                      <w:color w:val="000000"/>
                    </w:rPr>
                    <w:t>+修枝+割灌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栓皮栎</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7063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3532</w:t>
                  </w:r>
                </w:p>
              </w:tc>
            </w:tr>
          </w:tbl>
          <w:p>
            <w:pPr>
              <w:pStyle w:val="null3"/>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标的名称：购置安装智能化设备及样地监测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45" w:after="45"/>
              <w:jc w:val="center"/>
            </w:pPr>
            <w:r>
              <w:rPr>
                <w:rFonts w:ascii="仿宋_GB2312" w:hAnsi="仿宋_GB2312" w:cs="仿宋_GB2312" w:eastAsia="仿宋_GB2312"/>
                <w:sz w:val="24"/>
              </w:rPr>
              <w:t>碳汇计量监测体系</w:t>
            </w:r>
          </w:p>
          <w:p>
            <w:pPr>
              <w:pStyle w:val="null3"/>
              <w:spacing w:before="45" w:after="45"/>
              <w:jc w:val="left"/>
            </w:pPr>
            <w:r>
              <w:rPr>
                <w:rFonts w:ascii="仿宋_GB2312" w:hAnsi="仿宋_GB2312" w:cs="仿宋_GB2312" w:eastAsia="仿宋_GB2312"/>
                <w:sz w:val="21"/>
              </w:rPr>
              <w:t>1.1计量方法</w:t>
            </w:r>
          </w:p>
          <w:p>
            <w:pPr>
              <w:pStyle w:val="null3"/>
            </w:pPr>
            <w:r>
              <w:rPr>
                <w:rFonts w:ascii="仿宋_GB2312" w:hAnsi="仿宋_GB2312" w:cs="仿宋_GB2312" w:eastAsia="仿宋_GB2312"/>
              </w:rPr>
              <w:t>碳汇是指通过植树造林、植被恢复等措施，吸收大气中的二氧化碳，从而减少温室气体在大气中浓度的过程和机制，因此，森林系统碳汇的计量就是要计算不同时期森林系统碳储量的变化，碳储量的净增加量即减排量，也就是碳汇量。碳汇的计量方法也就是在碳储量的估算方法上实现的。目前，森林系统碳储量的估算方法包括样地清查、遥感估测和模型模拟等诸多方法。根据《陕西省“百万亩绿色碳库”试点示范基地碳汇计量监测指南》和《森林生态系统碳储量计量指南》（LY/T 2988-2018），本项目采用固定样地清查法，并利用生物量扩展因子法，即利用林分生物量与木材材积比值的平均值（BEF：生物量扩展系数）进行森林系统碳储量的估算，从而计算项目的碳汇量。</w:t>
            </w:r>
          </w:p>
          <w:p>
            <w:pPr>
              <w:pStyle w:val="null3"/>
            </w:pPr>
            <w:r>
              <w:rPr>
                <w:rFonts w:ascii="仿宋_GB2312" w:hAnsi="仿宋_GB2312" w:cs="仿宋_GB2312" w:eastAsia="仿宋_GB2312"/>
                <w:sz w:val="21"/>
              </w:rPr>
              <w:t>1.2碳汇监测</w:t>
            </w:r>
          </w:p>
          <w:p>
            <w:pPr>
              <w:pStyle w:val="null3"/>
            </w:pPr>
            <w:r>
              <w:rPr>
                <w:rFonts w:ascii="仿宋_GB2312" w:hAnsi="仿宋_GB2312" w:cs="仿宋_GB2312" w:eastAsia="仿宋_GB2312"/>
              </w:rPr>
              <w:t>（1）监测方法</w:t>
            </w:r>
          </w:p>
          <w:p>
            <w:pPr>
              <w:pStyle w:val="null3"/>
            </w:pPr>
            <w:r>
              <w:rPr>
                <w:rFonts w:ascii="仿宋_GB2312" w:hAnsi="仿宋_GB2312" w:cs="仿宋_GB2312" w:eastAsia="仿宋_GB2312"/>
              </w:rPr>
              <w:t>本项目为建设森林碳库，通过实施中幼龄林抚育，增加森林面积，提高森林质量，增加森林碳储量。为了监测项目的碳汇量，监测方法为基于固定样地的连续测定方法，采用“碳储量变化法”测定和估计相关碳库中碳储量的变化。监测样地的设置包括固定监测样地和智能化监测示范样地。为了避免边际效应，样地边缘应离地块边界至少10m以上。</w:t>
            </w:r>
          </w:p>
          <w:p>
            <w:pPr>
              <w:pStyle w:val="null3"/>
            </w:pPr>
            <w:r>
              <w:rPr>
                <w:rFonts w:ascii="仿宋_GB2312" w:hAnsi="仿宋_GB2312" w:cs="仿宋_GB2312" w:eastAsia="仿宋_GB2312"/>
              </w:rPr>
              <w:t>（2）监测内容</w:t>
            </w:r>
          </w:p>
          <w:p>
            <w:pPr>
              <w:pStyle w:val="null3"/>
            </w:pPr>
            <w:r>
              <w:rPr>
                <w:rFonts w:ascii="仿宋_GB2312" w:hAnsi="仿宋_GB2312" w:cs="仿宋_GB2312" w:eastAsia="仿宋_GB2312"/>
              </w:rPr>
              <w:t>监测内容包括基线碳汇量监测、项目活动监测、项目边界监测、项目碳储量变化监测、项目边界内的排放监测。</w:t>
            </w:r>
          </w:p>
          <w:p>
            <w:pPr>
              <w:pStyle w:val="null3"/>
            </w:pPr>
            <w:r>
              <w:rPr>
                <w:rFonts w:ascii="仿宋_GB2312" w:hAnsi="仿宋_GB2312" w:cs="仿宋_GB2312" w:eastAsia="仿宋_GB2312"/>
              </w:rPr>
              <w:t>（3）碳汇量监测</w:t>
            </w:r>
          </w:p>
          <w:p>
            <w:pPr>
              <w:pStyle w:val="null3"/>
            </w:pPr>
            <w:r>
              <w:rPr>
                <w:rFonts w:ascii="仿宋_GB2312" w:hAnsi="仿宋_GB2312" w:cs="仿宋_GB2312" w:eastAsia="仿宋_GB2312"/>
              </w:rPr>
              <w:t>本项目的监测期限为5年，监测次数为6次，首年为基线调查，此后每年9月进行样地复测1次。并提交相关数据至省碳库计量平台，每5年进行一次碳汇核算。</w:t>
            </w:r>
          </w:p>
          <w:p>
            <w:pPr>
              <w:pStyle w:val="null3"/>
            </w:pPr>
            <w:r>
              <w:rPr>
                <w:rFonts w:ascii="仿宋_GB2312" w:hAnsi="仿宋_GB2312" w:cs="仿宋_GB2312" w:eastAsia="仿宋_GB2312"/>
                <w:sz w:val="21"/>
              </w:rPr>
              <w:t>1.3常规监测样地设置</w:t>
            </w:r>
          </w:p>
          <w:p>
            <w:pPr>
              <w:pStyle w:val="null3"/>
              <w:outlineLvl w:val="3"/>
            </w:pPr>
            <w:r>
              <w:rPr>
                <w:rFonts w:ascii="仿宋_GB2312" w:hAnsi="仿宋_GB2312" w:cs="仿宋_GB2312" w:eastAsia="仿宋_GB2312"/>
                <w:sz w:val="24"/>
                <w:b/>
              </w:rPr>
              <w:t>1.3.1设置原则</w:t>
            </w:r>
          </w:p>
          <w:p>
            <w:pPr>
              <w:pStyle w:val="null3"/>
            </w:pPr>
            <w:r>
              <w:rPr>
                <w:rFonts w:ascii="仿宋_GB2312" w:hAnsi="仿宋_GB2312" w:cs="仿宋_GB2312" w:eastAsia="仿宋_GB2312"/>
              </w:rPr>
              <w:t>①根据不同碳库类型，选择具有典型性、代表性区域设置监测样地和对照样地，每个示范基地布设1-3组监测样地和对照样地。其中森林碳库监测点以作业区为单元，每个作业区至少布设监测样地、对照样地各1-3组(项目实施区内为监测样地，项目实施区外为对照样地，下同)。</w:t>
            </w:r>
          </w:p>
          <w:p>
            <w:pPr>
              <w:pStyle w:val="null3"/>
            </w:pPr>
            <w:r>
              <w:rPr>
                <w:rFonts w:ascii="仿宋_GB2312" w:hAnsi="仿宋_GB2312" w:cs="仿宋_GB2312" w:eastAsia="仿宋_GB2312"/>
              </w:rPr>
              <w:t>②以作业区为单元，作业区面积≤1000亩，样地设置不少于1组，1000&lt;面积≤4000亩，样地设置不少于2组，面积&gt;4000亩，样地设置不少于3组。</w:t>
            </w:r>
          </w:p>
          <w:p>
            <w:pPr>
              <w:pStyle w:val="null3"/>
            </w:pPr>
            <w:r>
              <w:rPr>
                <w:rFonts w:ascii="仿宋_GB2312" w:hAnsi="仿宋_GB2312" w:cs="仿宋_GB2312" w:eastAsia="仿宋_GB2312"/>
              </w:rPr>
              <w:t>③样地采用RTK（或GPS）定位，定位样点为样地西南角，统一标记并编号，并采集样地西南角CGCS2000坐标值。样地定位后，每个监测周期需按固定标志设置要求，修复和补设有关标志。</w:t>
            </w:r>
          </w:p>
          <w:p>
            <w:pPr>
              <w:pStyle w:val="null3"/>
              <w:outlineLvl w:val="3"/>
            </w:pPr>
            <w:r>
              <w:rPr>
                <w:rFonts w:ascii="仿宋_GB2312" w:hAnsi="仿宋_GB2312" w:cs="仿宋_GB2312" w:eastAsia="仿宋_GB2312"/>
                <w:sz w:val="24"/>
                <w:b/>
              </w:rPr>
              <w:t>1.3.2设置要求</w:t>
            </w:r>
          </w:p>
          <w:p>
            <w:pPr>
              <w:pStyle w:val="null3"/>
            </w:pPr>
            <w:r>
              <w:rPr>
                <w:rFonts w:ascii="仿宋_GB2312" w:hAnsi="仿宋_GB2312" w:cs="仿宋_GB2312" w:eastAsia="仿宋_GB2312"/>
              </w:rPr>
              <w:t>乔木样地为25.82 m×25.82 m。从西南角点起顺序测设，确定样地的西北角点、东北角点、东南角点和相应的四条边界的正确位置。若西南角点不适宜作为周界测量起点，起点可依次调整为西北角、东北角、东南角。新设样地周界测量闭合差应小于0.5%，复位样地周界长度误差应小于1%。</w:t>
            </w:r>
          </w:p>
          <w:p>
            <w:pPr>
              <w:pStyle w:val="null3"/>
            </w:pPr>
            <w:r>
              <w:rPr>
                <w:rFonts w:ascii="仿宋_GB2312" w:hAnsi="仿宋_GB2312" w:cs="仿宋_GB2312" w:eastAsia="仿宋_GB2312"/>
              </w:rPr>
              <w:t>灌木层、草本层和枯落物层采用样方调查。灌木层样方规格2 m×2 m，共设置4个，分别位于样地西南角向西2 m处、西北角向北2 m处、东北角向东2 m处、东南角向南2 m处，草本、枯落物层按1 m×1 m在灌木样方内设置并进行生物量调查。土壤剖面调查设置在样地东南角向东2 m处。</w:t>
            </w:r>
          </w:p>
          <w:p>
            <w:pPr>
              <w:pStyle w:val="null3"/>
              <w:outlineLvl w:val="3"/>
            </w:pPr>
            <w:r>
              <w:rPr>
                <w:rFonts w:ascii="仿宋_GB2312" w:hAnsi="仿宋_GB2312" w:cs="仿宋_GB2312" w:eastAsia="仿宋_GB2312"/>
                <w:sz w:val="24"/>
                <w:b/>
              </w:rPr>
              <w:t>1.3.3样地设置结果</w:t>
            </w:r>
          </w:p>
          <w:p>
            <w:pPr>
              <w:pStyle w:val="null3"/>
            </w:pPr>
            <w:r>
              <w:rPr>
                <w:rFonts w:ascii="仿宋_GB2312" w:hAnsi="仿宋_GB2312" w:cs="仿宋_GB2312" w:eastAsia="仿宋_GB2312"/>
              </w:rPr>
              <w:t>根据该项目实际情况共设置4组样地，其中3组为常规监测样地，1组为智能化监测示范样地。</w:t>
            </w:r>
          </w:p>
          <w:p>
            <w:pPr>
              <w:pStyle w:val="null3"/>
              <w:ind w:left="3120"/>
              <w:jc w:val="center"/>
            </w:pPr>
            <w:r>
              <w:rPr>
                <w:rFonts w:ascii="仿宋_GB2312" w:hAnsi="仿宋_GB2312" w:cs="仿宋_GB2312" w:eastAsia="仿宋_GB2312"/>
                <w:sz w:val="24"/>
                <w:b/>
              </w:rPr>
              <w:t>碳汇计量监测点布置表</w:t>
            </w:r>
          </w:p>
          <w:tbl>
            <w:tblPr>
              <w:tblBorders>
                <w:top w:val="none" w:color="000000" w:sz="4"/>
                <w:left w:val="none" w:color="000000" w:sz="4"/>
                <w:bottom w:val="none" w:color="000000" w:sz="4"/>
                <w:right w:val="none" w:color="000000" w:sz="4"/>
                <w:insideH w:val="none"/>
                <w:insideV w:val="none"/>
              </w:tblBorders>
            </w:tblPr>
            <w:tblGrid>
              <w:gridCol w:w="161"/>
              <w:gridCol w:w="278"/>
              <w:gridCol w:w="160"/>
              <w:gridCol w:w="160"/>
              <w:gridCol w:w="241"/>
              <w:gridCol w:w="522"/>
              <w:gridCol w:w="522"/>
              <w:gridCol w:w="507"/>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样地编号</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镇</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村</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小班</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样地类型</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X—1—1</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骆家坝镇</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张家坝村</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智能监测固定样地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 59.732" 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32°51'41.763" 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X—1—2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智能监测对照样地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107°26' 18.204" 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32°51'53.743" 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X—2—1</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107°25'48.251"E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32°51'34.610"N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X—2—2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 8.965" 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32°51'34.907"N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X—3—1</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107°24'43.254"E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32°51'31.960"N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X—3—2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107°24'42.691"E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32°51'31.723"N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X—4—1</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107°25'51.876"E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32°51'14.269"N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X—4—2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107°25'50.109"E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32°51'15.493"N</w:t>
                  </w:r>
                </w:p>
              </w:tc>
            </w:tr>
          </w:tbl>
          <w:p>
            <w:pPr>
              <w:pStyle w:val="null3"/>
              <w:ind w:firstLine="420"/>
              <w:jc w:val="both"/>
            </w:pPr>
            <w:r>
              <w:rPr>
                <w:rFonts w:ascii="仿宋_GB2312" w:hAnsi="仿宋_GB2312" w:cs="仿宋_GB2312" w:eastAsia="仿宋_GB2312"/>
                <w:sz w:val="21"/>
              </w:rPr>
              <w:t>1.4常规监测样地调查方法</w:t>
            </w:r>
          </w:p>
          <w:p>
            <w:pPr>
              <w:pStyle w:val="null3"/>
            </w:pPr>
            <w:r>
              <w:rPr>
                <w:rFonts w:ascii="仿宋_GB2312" w:hAnsi="仿宋_GB2312" w:cs="仿宋_GB2312" w:eastAsia="仿宋_GB2312"/>
              </w:rPr>
              <w:t>（1）样地标志</w:t>
            </w:r>
          </w:p>
          <w:p>
            <w:pPr>
              <w:pStyle w:val="null3"/>
            </w:pPr>
            <w:r>
              <w:rPr>
                <w:rFonts w:ascii="仿宋_GB2312" w:hAnsi="仿宋_GB2312" w:cs="仿宋_GB2312" w:eastAsia="仿宋_GB2312"/>
              </w:rPr>
              <w:t>样地标志为西南、西北、东北、东南角点无碱玻璃钢界桩和西南角定位物(树)、界外木刮皮并用油漆涂红。</w:t>
            </w:r>
          </w:p>
          <w:p>
            <w:pPr>
              <w:pStyle w:val="null3"/>
            </w:pPr>
            <w:r>
              <w:rPr>
                <w:rFonts w:ascii="仿宋_GB2312" w:hAnsi="仿宋_GB2312" w:cs="仿宋_GB2312" w:eastAsia="仿宋_GB2312"/>
              </w:rPr>
              <w:t>样木标志为树干基部0.1m(或1.7m)处的铁钉(树牌号)，树高1.3m处用红油漆表明的胸高线。</w:t>
            </w:r>
          </w:p>
          <w:p>
            <w:pPr>
              <w:pStyle w:val="null3"/>
            </w:pPr>
            <w:r>
              <w:rPr>
                <w:rFonts w:ascii="仿宋_GB2312" w:hAnsi="仿宋_GB2312" w:cs="仿宋_GB2312" w:eastAsia="仿宋_GB2312"/>
              </w:rPr>
              <w:t>（2）样地定位</w:t>
            </w:r>
          </w:p>
          <w:p>
            <w:pPr>
              <w:pStyle w:val="null3"/>
            </w:pPr>
            <w:r>
              <w:rPr>
                <w:rFonts w:ascii="仿宋_GB2312" w:hAnsi="仿宋_GB2312" w:cs="仿宋_GB2312" w:eastAsia="仿宋_GB2312"/>
              </w:rPr>
              <w:t>采用RTK（或GPS）定位，定位点为样地西南角，统一标记编号。</w:t>
            </w:r>
          </w:p>
          <w:p>
            <w:pPr>
              <w:pStyle w:val="null3"/>
              <w:ind w:left="3120"/>
              <w:jc w:val="center"/>
            </w:pPr>
            <w:r>
              <w:rPr>
                <w:rFonts w:ascii="仿宋_GB2312" w:hAnsi="仿宋_GB2312" w:cs="仿宋_GB2312" w:eastAsia="仿宋_GB2312"/>
                <w:sz w:val="24"/>
                <w:b/>
              </w:rPr>
              <w:t>样地周界测量记录表</w:t>
            </w:r>
          </w:p>
          <w:tbl>
            <w:tblPr>
              <w:tblBorders>
                <w:top w:val="none" w:color="000000" w:sz="4"/>
                <w:left w:val="none" w:color="000000" w:sz="4"/>
                <w:bottom w:val="none" w:color="000000" w:sz="4"/>
                <w:right w:val="none" w:color="000000" w:sz="4"/>
                <w:insideH w:val="none"/>
                <w:insideV w:val="none"/>
              </w:tblBorders>
            </w:tblPr>
            <w:tblGrid>
              <w:gridCol w:w="213"/>
              <w:gridCol w:w="213"/>
              <w:gridCol w:w="213"/>
              <w:gridCol w:w="213"/>
              <w:gridCol w:w="213"/>
              <w:gridCol w:w="213"/>
              <w:gridCol w:w="213"/>
              <w:gridCol w:w="213"/>
              <w:gridCol w:w="213"/>
              <w:gridCol w:w="213"/>
              <w:gridCol w:w="213"/>
              <w:gridCol w:w="213"/>
            </w:tblGrid>
            <w:tr>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测站</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方位角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倾斜角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斜距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水平距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累计</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测站</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方位角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倾斜角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斜距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水平距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累计</w:t>
                  </w: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绝对闭合差</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相对闭合差</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周长误差</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r>
          </w:tbl>
          <w:p>
            <w:pPr>
              <w:pStyle w:val="null3"/>
              <w:jc w:val="both"/>
            </w:pPr>
            <w:r>
              <w:rPr>
                <w:rFonts w:ascii="仿宋_GB2312" w:hAnsi="仿宋_GB2312" w:cs="仿宋_GB2312" w:eastAsia="仿宋_GB2312"/>
              </w:rPr>
              <w:t>依次采集样地西南、西北、东北、东南角点经纬度坐标值，坐标系统一采用CGCS2000坐标系。样地定位后，每个监测周期需按固定标志设置要求，修复和补设有关标志。</w:t>
            </w:r>
          </w:p>
          <w:p>
            <w:pPr>
              <w:pStyle w:val="null3"/>
            </w:pPr>
            <w:r>
              <w:rPr>
                <w:rFonts w:ascii="仿宋_GB2312" w:hAnsi="仿宋_GB2312" w:cs="仿宋_GB2312" w:eastAsia="仿宋_GB2312"/>
              </w:rPr>
              <w:t>为满足质量管理要求，各样地均需采集样地西南角GPS采集航迹，并拍摄样地西南角和部分样木的景观照片，拍摄现地工作场景。</w:t>
            </w:r>
          </w:p>
          <w:p>
            <w:pPr>
              <w:pStyle w:val="null3"/>
            </w:pPr>
            <w:r>
              <w:rPr>
                <w:rFonts w:ascii="仿宋_GB2312" w:hAnsi="仿宋_GB2312" w:cs="仿宋_GB2312" w:eastAsia="仿宋_GB2312"/>
              </w:rPr>
              <w:t>（3）样地调查</w:t>
            </w:r>
          </w:p>
          <w:p>
            <w:pPr>
              <w:pStyle w:val="null3"/>
            </w:pPr>
            <w:r>
              <w:rPr>
                <w:rFonts w:ascii="仿宋_GB2312" w:hAnsi="仿宋_GB2312" w:cs="仿宋_GB2312" w:eastAsia="仿宋_GB2312"/>
              </w:rPr>
              <w:t>通过样地调查记录乔木样地因子，包括：平均年龄、平均胸径、平均树高、起源、下层主要植被类型及盖度、土壤类型、地理位置、地形、地貌等；样木因子，包括：树种、胸径、树高、生长状况等。获取立地土壤、植被特征、管理属性等因子。对所有胸径大于5cm的活立木进行每木检尺。</w:t>
            </w:r>
          </w:p>
          <w:p>
            <w:pPr>
              <w:pStyle w:val="null3"/>
            </w:pPr>
            <w:r>
              <w:rPr>
                <w:rFonts w:ascii="仿宋_GB2312" w:hAnsi="仿宋_GB2312" w:cs="仿宋_GB2312" w:eastAsia="仿宋_GB2312"/>
              </w:rPr>
              <w:t>立地土壤：包括地理位置，地形地貌，海拔，坡向、坡位、坡度，土壤名称，土壤质地，土壤厚度，腐殖质厚度，枯枝落叶厚度等。</w:t>
            </w:r>
          </w:p>
          <w:p>
            <w:pPr>
              <w:pStyle w:val="null3"/>
            </w:pPr>
            <w:r>
              <w:rPr>
                <w:rFonts w:ascii="仿宋_GB2312" w:hAnsi="仿宋_GB2312" w:cs="仿宋_GB2312" w:eastAsia="仿宋_GB2312"/>
              </w:rPr>
              <w:t>植被特征：包括植被类型、灌木覆盖度、灌木平均高、草本覆盖度、草本平均高、植被总覆盖度、地类、起源、优势树种、平均年龄、龄组、产期、平均胸径、平均树高、郁闭度、森林群落结构、林层结构、树种结构、自然度、森林灾害类型、灾害等级、四旁树株数、杂竹株数、天然更新等级、地类面积等级。</w:t>
            </w:r>
          </w:p>
          <w:p>
            <w:pPr>
              <w:pStyle w:val="null3"/>
            </w:pPr>
            <w:r>
              <w:rPr>
                <w:rFonts w:ascii="仿宋_GB2312" w:hAnsi="仿宋_GB2312" w:cs="仿宋_GB2312" w:eastAsia="仿宋_GB2312"/>
              </w:rPr>
              <w:t>管理属性：土地权属、林木权属、森林类别、林种、公益林事权等级和保护等级、商品林经营等级、抚育措施、可及度、地类变化原因。</w:t>
            </w:r>
          </w:p>
          <w:p>
            <w:pPr>
              <w:pStyle w:val="null3"/>
            </w:pPr>
            <w:r>
              <w:rPr>
                <w:rFonts w:ascii="仿宋_GB2312" w:hAnsi="仿宋_GB2312" w:cs="仿宋_GB2312" w:eastAsia="仿宋_GB2312"/>
              </w:rPr>
              <w:t>样木因子：对胸径≥5.0cm乔木树种(包括经济乔木树种)和胸径≥2.0cm毛竹(含非竹林样地内毛竹)进行每木检尺，分别记载立木类型、检尺类型、树种，测量胸径。在调查过程中，实地拍摄样地照片，包含样地、样木、主要植被等照片类型。</w:t>
            </w:r>
          </w:p>
          <w:p>
            <w:pPr>
              <w:pStyle w:val="null3"/>
              <w:ind w:left="3120"/>
              <w:jc w:val="center"/>
            </w:pPr>
            <w:r>
              <w:rPr>
                <w:rFonts w:ascii="仿宋_GB2312" w:hAnsi="仿宋_GB2312" w:cs="仿宋_GB2312" w:eastAsia="仿宋_GB2312"/>
                <w:sz w:val="24"/>
                <w:b/>
              </w:rPr>
              <w:t>样地调查因子记载表</w:t>
            </w:r>
          </w:p>
          <w:tbl>
            <w:tblPr>
              <w:tblBorders>
                <w:top w:val="none" w:color="000000" w:sz="4"/>
                <w:left w:val="none" w:color="000000" w:sz="4"/>
                <w:bottom w:val="none" w:color="000000" w:sz="4"/>
                <w:right w:val="none" w:color="000000" w:sz="4"/>
                <w:insideH w:val="none"/>
                <w:insideV w:val="none"/>
              </w:tblBorders>
            </w:tblPr>
            <w:tblGrid>
              <w:gridCol w:w="255"/>
              <w:gridCol w:w="255"/>
              <w:gridCol w:w="255"/>
              <w:gridCol w:w="255"/>
              <w:gridCol w:w="255"/>
              <w:gridCol w:w="255"/>
              <w:gridCol w:w="255"/>
              <w:gridCol w:w="255"/>
              <w:gridCol w:w="255"/>
              <w:gridCol w:w="255"/>
            </w:tblGrid>
            <w:tr>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中文名</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乔木林</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国家特别规定灌木林</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其他</w:t>
                  </w:r>
                </w:p>
                <w:p>
                  <w:pPr>
                    <w:pStyle w:val="null3"/>
                    <w:jc w:val="center"/>
                  </w:pPr>
                  <w:r>
                    <w:rPr>
                      <w:rFonts w:ascii="仿宋_GB2312" w:hAnsi="仿宋_GB2312" w:cs="仿宋_GB2312" w:eastAsia="仿宋_GB2312"/>
                      <w:sz w:val="21"/>
                      <w:b/>
                    </w:rPr>
                    <w:t>灌木林</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疏林地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未成林造林地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苗圃地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采伐</w:t>
                  </w:r>
                </w:p>
                <w:p>
                  <w:pPr>
                    <w:pStyle w:val="null3"/>
                    <w:jc w:val="center"/>
                  </w:pPr>
                  <w:r>
                    <w:rPr>
                      <w:rFonts w:ascii="仿宋_GB2312" w:hAnsi="仿宋_GB2312" w:cs="仿宋_GB2312" w:eastAsia="仿宋_GB2312"/>
                      <w:sz w:val="21"/>
                      <w:b/>
                    </w:rPr>
                    <w:t>迹地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火烧</w:t>
                  </w:r>
                </w:p>
                <w:p>
                  <w:pPr>
                    <w:pStyle w:val="null3"/>
                    <w:jc w:val="center"/>
                  </w:pPr>
                  <w:r>
                    <w:rPr>
                      <w:rFonts w:ascii="仿宋_GB2312" w:hAnsi="仿宋_GB2312" w:cs="仿宋_GB2312" w:eastAsia="仿宋_GB2312"/>
                      <w:sz w:val="21"/>
                      <w:b/>
                    </w:rPr>
                    <w:t>迹地</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县</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样地号</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碳库类型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作业方式</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纵坐标</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横坐标</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地貌</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海拔</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坡向</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坡位</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坡度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基岩裸露</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土壤质地</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土壤砾石含量</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土壤厚度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腐殖质厚度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枯枝落叶厚度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植被类型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灌木覆盖度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灌木平均高</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草本覆盖度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草本平均高</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植被总覆盖度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森林覆被类型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地类</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林地保护等级</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土地权属</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林木权属</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森林类别</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林种</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起源</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优势树种</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平均年龄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平均胸径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平均树高</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龄组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径组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森林群落结构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树种结构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林层结构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林龄结构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郁闭度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毛竹株数</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其他竹株数</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抚育措施</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人工林类型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天然更新等级</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调查日期</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备注</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注：表格中</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”表</w:t>
            </w:r>
            <w:r>
              <w:rPr>
                <w:rFonts w:ascii="仿宋_GB2312" w:hAnsi="仿宋_GB2312" w:cs="仿宋_GB2312" w:eastAsia="仿宋_GB2312"/>
                <w:sz w:val="24"/>
              </w:rPr>
              <w:t>示</w:t>
            </w:r>
            <w:r>
              <w:rPr>
                <w:rFonts w:ascii="仿宋_GB2312" w:hAnsi="仿宋_GB2312" w:cs="仿宋_GB2312" w:eastAsia="仿宋_GB2312"/>
                <w:sz w:val="24"/>
              </w:rPr>
              <w:t>必须填写，</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”表</w:t>
            </w:r>
            <w:r>
              <w:rPr>
                <w:rFonts w:ascii="仿宋_GB2312" w:hAnsi="仿宋_GB2312" w:cs="仿宋_GB2312" w:eastAsia="仿宋_GB2312"/>
                <w:sz w:val="24"/>
              </w:rPr>
              <w:t>示</w:t>
            </w:r>
            <w:r>
              <w:rPr>
                <w:rFonts w:ascii="仿宋_GB2312" w:hAnsi="仿宋_GB2312" w:cs="仿宋_GB2312" w:eastAsia="仿宋_GB2312"/>
                <w:sz w:val="24"/>
              </w:rPr>
              <w:t>视情况填写，空格表示不用填。</w:t>
            </w:r>
            <w:r>
              <w:rPr>
                <w:rFonts w:ascii="仿宋_GB2312" w:hAnsi="仿宋_GB2312" w:cs="仿宋_GB2312" w:eastAsia="仿宋_GB2312"/>
                <w:sz w:val="24"/>
              </w:rPr>
              <w:t>对</w:t>
            </w:r>
            <w:r>
              <w:rPr>
                <w:rFonts w:ascii="仿宋_GB2312" w:hAnsi="仿宋_GB2312" w:cs="仿宋_GB2312" w:eastAsia="仿宋_GB2312"/>
                <w:sz w:val="24"/>
              </w:rPr>
              <w:t>样地内</w:t>
            </w:r>
            <w:r>
              <w:rPr>
                <w:rFonts w:ascii="仿宋_GB2312" w:hAnsi="仿宋_GB2312" w:cs="仿宋_GB2312" w:eastAsia="仿宋_GB2312"/>
                <w:sz w:val="24"/>
              </w:rPr>
              <w:t>乔</w:t>
            </w:r>
            <w:r>
              <w:rPr>
                <w:rFonts w:ascii="仿宋_GB2312" w:hAnsi="仿宋_GB2312" w:cs="仿宋_GB2312" w:eastAsia="仿宋_GB2312"/>
                <w:sz w:val="24"/>
              </w:rPr>
              <w:t>木，应</w:t>
            </w:r>
            <w:r>
              <w:rPr>
                <w:rFonts w:ascii="仿宋_GB2312" w:hAnsi="仿宋_GB2312" w:cs="仿宋_GB2312" w:eastAsia="仿宋_GB2312"/>
                <w:sz w:val="24"/>
              </w:rPr>
              <w:t>进</w:t>
            </w:r>
            <w:r>
              <w:rPr>
                <w:rFonts w:ascii="仿宋_GB2312" w:hAnsi="仿宋_GB2312" w:cs="仿宋_GB2312" w:eastAsia="仿宋_GB2312"/>
                <w:sz w:val="24"/>
              </w:rPr>
              <w:t>行每木</w:t>
            </w:r>
            <w:r>
              <w:rPr>
                <w:rFonts w:ascii="仿宋_GB2312" w:hAnsi="仿宋_GB2312" w:cs="仿宋_GB2312" w:eastAsia="仿宋_GB2312"/>
                <w:sz w:val="24"/>
              </w:rPr>
              <w:t>检</w:t>
            </w:r>
            <w:r>
              <w:rPr>
                <w:rFonts w:ascii="仿宋_GB2312" w:hAnsi="仿宋_GB2312" w:cs="仿宋_GB2312" w:eastAsia="仿宋_GB2312"/>
                <w:sz w:val="24"/>
              </w:rPr>
              <w:t>尺，填</w:t>
            </w:r>
            <w:r>
              <w:rPr>
                <w:rFonts w:ascii="仿宋_GB2312" w:hAnsi="仿宋_GB2312" w:cs="仿宋_GB2312" w:eastAsia="仿宋_GB2312"/>
                <w:sz w:val="24"/>
              </w:rPr>
              <w:t>写</w:t>
            </w:r>
            <w:r>
              <w:rPr>
                <w:rFonts w:ascii="仿宋_GB2312" w:hAnsi="仿宋_GB2312" w:cs="仿宋_GB2312" w:eastAsia="仿宋_GB2312"/>
                <w:sz w:val="24"/>
              </w:rPr>
              <w:t>样地调</w:t>
            </w:r>
            <w:r>
              <w:rPr>
                <w:rFonts w:ascii="仿宋_GB2312" w:hAnsi="仿宋_GB2312" w:cs="仿宋_GB2312" w:eastAsia="仿宋_GB2312"/>
                <w:sz w:val="24"/>
              </w:rPr>
              <w:t>查</w:t>
            </w:r>
            <w:r>
              <w:rPr>
                <w:rFonts w:ascii="仿宋_GB2312" w:hAnsi="仿宋_GB2312" w:cs="仿宋_GB2312" w:eastAsia="仿宋_GB2312"/>
                <w:sz w:val="24"/>
              </w:rPr>
              <w:t>乔木每</w:t>
            </w:r>
            <w:r>
              <w:rPr>
                <w:rFonts w:ascii="仿宋_GB2312" w:hAnsi="仿宋_GB2312" w:cs="仿宋_GB2312" w:eastAsia="仿宋_GB2312"/>
                <w:sz w:val="24"/>
              </w:rPr>
              <w:t>木</w:t>
            </w:r>
            <w:r>
              <w:rPr>
                <w:rFonts w:ascii="仿宋_GB2312" w:hAnsi="仿宋_GB2312" w:cs="仿宋_GB2312" w:eastAsia="仿宋_GB2312"/>
                <w:sz w:val="24"/>
              </w:rPr>
              <w:t>检尺</w:t>
            </w:r>
            <w:r>
              <w:rPr>
                <w:rFonts w:ascii="仿宋_GB2312" w:hAnsi="仿宋_GB2312" w:cs="仿宋_GB2312" w:eastAsia="仿宋_GB2312"/>
                <w:sz w:val="24"/>
              </w:rPr>
              <w:t>记</w:t>
            </w:r>
            <w:r>
              <w:rPr>
                <w:rFonts w:ascii="仿宋_GB2312" w:hAnsi="仿宋_GB2312" w:cs="仿宋_GB2312" w:eastAsia="仿宋_GB2312"/>
                <w:sz w:val="24"/>
              </w:rPr>
              <w:t>录表。</w:t>
            </w:r>
          </w:p>
          <w:p>
            <w:pPr>
              <w:pStyle w:val="null3"/>
              <w:ind w:left="3120"/>
              <w:jc w:val="center"/>
            </w:pPr>
            <w:r>
              <w:rPr>
                <w:rFonts w:ascii="仿宋_GB2312" w:hAnsi="仿宋_GB2312" w:cs="仿宋_GB2312" w:eastAsia="仿宋_GB2312"/>
                <w:sz w:val="24"/>
                <w:b/>
              </w:rPr>
              <w:t>样地调查每木检尺记录表</w:t>
            </w:r>
          </w:p>
          <w:p>
            <w:pPr>
              <w:pStyle w:val="null3"/>
              <w:jc w:val="center"/>
            </w:pPr>
            <w:r>
              <w:rPr>
                <w:rFonts w:ascii="仿宋_GB2312" w:hAnsi="仿宋_GB2312" w:cs="仿宋_GB2312" w:eastAsia="仿宋_GB2312"/>
                <w:sz w:val="24"/>
              </w:rPr>
              <w:t>样地号：</w:t>
            </w:r>
            <w:r>
              <w:rPr>
                <w:rFonts w:ascii="仿宋_GB2312" w:hAnsi="仿宋_GB2312" w:cs="仿宋_GB2312" w:eastAsia="仿宋_GB2312"/>
                <w:sz w:val="24"/>
              </w:rPr>
              <w:t>面积：</w:t>
            </w:r>
            <w:r>
              <w:rPr>
                <w:rFonts w:ascii="仿宋_GB2312" w:hAnsi="仿宋_GB2312" w:cs="仿宋_GB2312" w:eastAsia="仿宋_GB2312"/>
                <w:sz w:val="24"/>
              </w:rPr>
              <w:t>优势树种：</w:t>
            </w:r>
            <w:r>
              <w:rPr>
                <w:rFonts w:ascii="仿宋_GB2312" w:hAnsi="仿宋_GB2312" w:cs="仿宋_GB2312" w:eastAsia="仿宋_GB2312"/>
                <w:sz w:val="24"/>
              </w:rPr>
              <w:t>调查员：</w:t>
            </w:r>
            <w:r>
              <w:rPr>
                <w:rFonts w:ascii="仿宋_GB2312" w:hAnsi="仿宋_GB2312" w:cs="仿宋_GB2312" w:eastAsia="仿宋_GB2312"/>
                <w:sz w:val="24"/>
              </w:rPr>
              <w:t>调查时间：</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tbl>
            <w:tblPr>
              <w:tblBorders>
                <w:top w:val="none" w:color="000000" w:sz="4"/>
                <w:left w:val="none" w:color="000000" w:sz="4"/>
                <w:bottom w:val="none" w:color="000000" w:sz="4"/>
                <w:right w:val="none" w:color="000000" w:sz="4"/>
                <w:insideH w:val="none"/>
                <w:insideV w:val="none"/>
              </w:tblBorders>
            </w:tblPr>
            <w:tblGrid>
              <w:gridCol w:w="283"/>
              <w:gridCol w:w="282"/>
              <w:gridCol w:w="284"/>
              <w:gridCol w:w="284"/>
              <w:gridCol w:w="283"/>
              <w:gridCol w:w="284"/>
              <w:gridCol w:w="284"/>
              <w:gridCol w:w="283"/>
              <w:gridCol w:w="284"/>
            </w:tblGrid>
            <w:tr>
              <w:tc>
                <w:tcPr>
                  <w:tcW w:type="dxa" w:w="28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样木号</w:t>
                  </w:r>
                </w:p>
              </w:tc>
              <w:tc>
                <w:tcPr>
                  <w:tcW w:type="dxa" w:w="56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树种</w:t>
                  </w:r>
                </w:p>
              </w:tc>
              <w:tc>
                <w:tcPr>
                  <w:tcW w:type="dxa" w:w="567"/>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c>
                <w:tcPr>
                  <w:tcW w:type="dxa" w:w="28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林层</w:t>
                  </w:r>
                </w:p>
              </w:tc>
              <w:tc>
                <w:tcPr>
                  <w:tcW w:type="dxa" w:w="28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方位角</w:t>
                  </w:r>
                </w:p>
              </w:tc>
              <w:tc>
                <w:tcPr>
                  <w:tcW w:type="dxa" w:w="283"/>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水平距</w:t>
                  </w:r>
                </w:p>
              </w:tc>
              <w:tc>
                <w:tcPr>
                  <w:tcW w:type="dxa" w:w="28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备注</w:t>
                  </w:r>
                </w:p>
              </w:tc>
            </w:tr>
            <w:tr>
              <w:tc>
                <w:tcPr>
                  <w:tcW w:type="dxa" w:w="283"/>
                  <w:vMerge/>
                  <w:tcBorders>
                    <w:top w:val="single" w:color="000000" w:sz="4"/>
                    <w:left w:val="singl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代码</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前期</w:t>
                  </w: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本期</w:t>
                  </w: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3"/>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平均样木调查记录表</w:t>
            </w:r>
          </w:p>
          <w:p>
            <w:pPr>
              <w:pStyle w:val="null3"/>
              <w:ind w:right="435"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291"/>
              <w:gridCol w:w="216"/>
              <w:gridCol w:w="440"/>
              <w:gridCol w:w="365"/>
              <w:gridCol w:w="441"/>
              <w:gridCol w:w="216"/>
              <w:gridCol w:w="290"/>
              <w:gridCol w:w="292"/>
            </w:tblGrid>
            <w:tr>
              <w:tc>
                <w:tcPr>
                  <w:tcW w:type="dxa" w:w="29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样木号</w:t>
                  </w:r>
                </w:p>
              </w:tc>
              <w:tc>
                <w:tcPr>
                  <w:tcW w:type="dxa" w:w="216"/>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树种</w:t>
                  </w:r>
                </w:p>
              </w:tc>
              <w:tc>
                <w:tcPr>
                  <w:tcW w:type="dxa" w:w="440"/>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r>
                    <w:rPr>
                      <w:rFonts w:ascii="仿宋_GB2312" w:hAnsi="仿宋_GB2312" w:cs="仿宋_GB2312" w:eastAsia="仿宋_GB2312"/>
                      <w:sz w:val="21"/>
                      <w:b/>
                    </w:rPr>
                    <w:t>(cm)</w:t>
                  </w:r>
                </w:p>
              </w:tc>
              <w:tc>
                <w:tcPr>
                  <w:tcW w:type="dxa" w:w="365"/>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树高</w:t>
                  </w:r>
                  <w:r>
                    <w:rPr>
                      <w:rFonts w:ascii="仿宋_GB2312" w:hAnsi="仿宋_GB2312" w:cs="仿宋_GB2312" w:eastAsia="仿宋_GB2312"/>
                      <w:sz w:val="21"/>
                      <w:b/>
                    </w:rPr>
                    <w:t>(m)</w:t>
                  </w:r>
                </w:p>
              </w:tc>
              <w:tc>
                <w:tcPr>
                  <w:tcW w:type="dxa" w:w="441"/>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枝下高</w:t>
                  </w:r>
                  <w:r>
                    <w:rPr>
                      <w:rFonts w:ascii="仿宋_GB2312" w:hAnsi="仿宋_GB2312" w:cs="仿宋_GB2312" w:eastAsia="仿宋_GB2312"/>
                      <w:sz w:val="21"/>
                      <w:b/>
                    </w:rPr>
                    <w:t>(m)</w:t>
                  </w:r>
                </w:p>
              </w:tc>
              <w:tc>
                <w:tcPr>
                  <w:tcW w:type="dxa" w:w="798"/>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冠幅</w:t>
                  </w:r>
                  <w:r>
                    <w:rPr>
                      <w:rFonts w:ascii="仿宋_GB2312" w:hAnsi="仿宋_GB2312" w:cs="仿宋_GB2312" w:eastAsia="仿宋_GB2312"/>
                      <w:sz w:val="21"/>
                      <w:b/>
                    </w:rPr>
                    <w:t>(m)</w:t>
                  </w:r>
                </w:p>
              </w:tc>
            </w:tr>
            <w:tr>
              <w:tc>
                <w:tcPr>
                  <w:tcW w:type="dxa" w:w="291"/>
                  <w:vMerge/>
                  <w:tcBorders>
                    <w:top w:val="single" w:color="000000" w:sz="4"/>
                    <w:left w:val="singl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440"/>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441"/>
                  <w:vMerge/>
                  <w:tcBorders>
                    <w:top w:val="singl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东西向</w:t>
                  </w:r>
                </w:p>
              </w:tc>
              <w:tc>
                <w:tcPr>
                  <w:tcW w:type="dxa" w:w="2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南北向</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复查期内样地变化情况调查记录表</w:t>
            </w:r>
          </w:p>
          <w:p>
            <w:pPr>
              <w:pStyle w:val="null3"/>
              <w:ind w:right="630"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365"/>
              <w:gridCol w:w="365"/>
              <w:gridCol w:w="282"/>
              <w:gridCol w:w="321"/>
              <w:gridCol w:w="490"/>
              <w:gridCol w:w="314"/>
              <w:gridCol w:w="415"/>
            </w:tblGrid>
            <w:tr>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3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地类</w:t>
                  </w:r>
                </w:p>
              </w:tc>
              <w:tc>
                <w:tcPr>
                  <w:tcW w:type="dxa" w:w="2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林种</w:t>
                  </w:r>
                </w:p>
              </w:tc>
              <w:tc>
                <w:tcPr>
                  <w:tcW w:type="dxa" w:w="3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起源</w:t>
                  </w:r>
                </w:p>
              </w:tc>
              <w:tc>
                <w:tcPr>
                  <w:tcW w:type="dxa" w:w="4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优势树种</w:t>
                  </w:r>
                </w:p>
              </w:tc>
              <w:tc>
                <w:tcPr>
                  <w:tcW w:type="dxa" w:w="3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龄组</w:t>
                  </w:r>
                </w:p>
              </w:tc>
              <w:tc>
                <w:tcPr>
                  <w:tcW w:type="dxa" w:w="4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植被类型</w:t>
                  </w: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前期</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本期</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变化原因</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样地有无特殊对待及其说明</w:t>
                  </w:r>
                </w:p>
              </w:tc>
              <w:tc>
                <w:tcPr>
                  <w:tcW w:type="dxa" w:w="2187"/>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2187"/>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vMerge/>
                  <w:tcBorders>
                    <w:top w:val="none" w:color="000000" w:sz="4"/>
                    <w:left w:val="single" w:color="000000" w:sz="4"/>
                    <w:bottom w:val="single" w:color="000000" w:sz="4"/>
                    <w:right w:val="single" w:color="000000" w:sz="4"/>
                  </w:tcBorders>
                </w:tcPr>
                <w:p/>
              </w:tc>
              <w:tc>
                <w:tcPr>
                  <w:tcW w:type="dxa" w:w="2187"/>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rPr>
              <w:t>（4）样方调查</w:t>
            </w:r>
          </w:p>
          <w:p>
            <w:pPr>
              <w:pStyle w:val="null3"/>
            </w:pPr>
            <w:r>
              <w:rPr>
                <w:rFonts w:ascii="仿宋_GB2312" w:hAnsi="仿宋_GB2312" w:cs="仿宋_GB2312" w:eastAsia="仿宋_GB2312"/>
              </w:rPr>
              <w:t>A.灌木层(林)调查</w:t>
            </w:r>
          </w:p>
          <w:p>
            <w:pPr>
              <w:pStyle w:val="null3"/>
            </w:pPr>
            <w:r>
              <w:rPr>
                <w:rFonts w:ascii="仿宋_GB2312" w:hAnsi="仿宋_GB2312" w:cs="仿宋_GB2312" w:eastAsia="仿宋_GB2312"/>
              </w:rPr>
              <w:t>调查样方内灌木种类(包括未达起测直径D&lt;5.0cm的幼树)、地径、盖度、株数、平均高等。选择样方中3株平均大小的标准木，采用全株收获法分别测定其地上干、枝、叶和地下根系的鲜重，选取干、枝、叶和根样品（300g）带回实验室测定其含水率。如为丛生灌木，则在样方内选取1-2丛平均冠幅的灌丛，采用完全收获法测定其鲜重和样品重，带样品回实验室测定其含水率。样品统一编号、贴标签，标明样品采集的样地号、样方号、样品种类和采集日期。</w:t>
            </w:r>
          </w:p>
          <w:p>
            <w:pPr>
              <w:pStyle w:val="null3"/>
            </w:pPr>
            <w:r>
              <w:rPr>
                <w:rFonts w:ascii="仿宋_GB2312" w:hAnsi="仿宋_GB2312" w:cs="仿宋_GB2312" w:eastAsia="仿宋_GB2312"/>
              </w:rPr>
              <w:t>B.草本层（草原、荒漠）调查</w:t>
            </w:r>
          </w:p>
          <w:p>
            <w:pPr>
              <w:pStyle w:val="null3"/>
            </w:pPr>
            <w:r>
              <w:rPr>
                <w:rFonts w:ascii="仿宋_GB2312" w:hAnsi="仿宋_GB2312" w:cs="仿宋_GB2312" w:eastAsia="仿宋_GB2312"/>
              </w:rPr>
              <w:t>调查样方内草本植物种类、丛数量、高度、盖度，收集样方内全部草本测定鲜重，并对每个样方的混合草本进行样品采集（300g），带回实验室测定其含水率。样品统一编号、贴标签，标明样品采集的样地号、样方号、样品种类和采集日期。</w:t>
            </w:r>
          </w:p>
          <w:p>
            <w:pPr>
              <w:pStyle w:val="null3"/>
            </w:pPr>
            <w:r>
              <w:rPr>
                <w:rFonts w:ascii="仿宋_GB2312" w:hAnsi="仿宋_GB2312" w:cs="仿宋_GB2312" w:eastAsia="仿宋_GB2312"/>
              </w:rPr>
              <w:t>C.枯落物层调查</w:t>
            </w:r>
          </w:p>
          <w:p>
            <w:pPr>
              <w:pStyle w:val="null3"/>
            </w:pPr>
            <w:r>
              <w:rPr>
                <w:rFonts w:ascii="仿宋_GB2312" w:hAnsi="仿宋_GB2312" w:cs="仿宋_GB2312" w:eastAsia="仿宋_GB2312"/>
              </w:rPr>
              <w:t>调查样方内枯落物的厚度，收集全部枯落物称其鲜重，并选取样品（200g）带回实验室测定其含水率。样品统一编号、贴标签，标明样品采集的样地号、样方号、样品种类和采集日期。</w:t>
            </w:r>
          </w:p>
          <w:p>
            <w:pPr>
              <w:pStyle w:val="null3"/>
            </w:pPr>
            <w:r>
              <w:rPr>
                <w:rFonts w:ascii="仿宋_GB2312" w:hAnsi="仿宋_GB2312" w:cs="仿宋_GB2312" w:eastAsia="仿宋_GB2312"/>
              </w:rPr>
              <w:t>D.土壤调查</w:t>
            </w:r>
          </w:p>
          <w:p>
            <w:pPr>
              <w:pStyle w:val="null3"/>
            </w:pPr>
            <w:r>
              <w:rPr>
                <w:rFonts w:ascii="仿宋_GB2312" w:hAnsi="仿宋_GB2312" w:cs="仿宋_GB2312" w:eastAsia="仿宋_GB2312"/>
              </w:rPr>
              <w:t>调查内容包括：土壤类型、土层厚度、土壤容重和有机质含量。每个土壤剖面采样层次按0cm-10cm、10cm-20cm、20cm-40cm、40cm-100cm划分土层，每层用环刀取土样，称鲜重后，将土取出装入小信封或取样袋，编号、带回室内烘干，测定土壤含水率。另外，用环刀取各层土样充分混合，四分法取500g的土样直接装入塑封袋，编号、带回室内测定土壤有机质含量。</w:t>
            </w:r>
          </w:p>
          <w:p>
            <w:pPr>
              <w:pStyle w:val="null3"/>
              <w:ind w:left="3120"/>
              <w:jc w:val="center"/>
            </w:pPr>
            <w:r>
              <w:rPr>
                <w:rFonts w:ascii="仿宋_GB2312" w:hAnsi="仿宋_GB2312" w:cs="仿宋_GB2312" w:eastAsia="仿宋_GB2312"/>
                <w:sz w:val="24"/>
                <w:b/>
              </w:rPr>
              <w:t>样方调查取样记录表</w:t>
            </w:r>
          </w:p>
          <w:p>
            <w:pPr>
              <w:pStyle w:val="null3"/>
              <w:jc w:val="center"/>
            </w:pPr>
            <w:r>
              <w:rPr>
                <w:rFonts w:ascii="仿宋_GB2312" w:hAnsi="仿宋_GB2312" w:cs="仿宋_GB2312" w:eastAsia="仿宋_GB2312"/>
                <w:sz w:val="24"/>
              </w:rPr>
              <w:t>样地号：</w:t>
            </w:r>
            <w:r>
              <w:rPr>
                <w:rFonts w:ascii="仿宋_GB2312" w:hAnsi="仿宋_GB2312" w:cs="仿宋_GB2312" w:eastAsia="仿宋_GB2312"/>
                <w:sz w:val="24"/>
              </w:rPr>
              <w:t>面积：</w:t>
            </w:r>
            <w:r>
              <w:rPr>
                <w:rFonts w:ascii="仿宋_GB2312" w:hAnsi="仿宋_GB2312" w:cs="仿宋_GB2312" w:eastAsia="仿宋_GB2312"/>
                <w:sz w:val="24"/>
              </w:rPr>
              <w:t>优势树种：</w:t>
            </w:r>
            <w:r>
              <w:rPr>
                <w:rFonts w:ascii="仿宋_GB2312" w:hAnsi="仿宋_GB2312" w:cs="仿宋_GB2312" w:eastAsia="仿宋_GB2312"/>
                <w:sz w:val="24"/>
              </w:rPr>
              <w:t>调查员：</w:t>
            </w:r>
            <w:r>
              <w:rPr>
                <w:rFonts w:ascii="仿宋_GB2312" w:hAnsi="仿宋_GB2312" w:cs="仿宋_GB2312" w:eastAsia="仿宋_GB2312"/>
                <w:sz w:val="24"/>
              </w:rPr>
              <w:t>调查时间：</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日</w:t>
            </w:r>
          </w:p>
          <w:tbl>
            <w:tblPr>
              <w:tblInd w:type="dxa" w:w="105"/>
              <w:tblBorders>
                <w:top w:val="none" w:color="000000" w:sz="4"/>
                <w:left w:val="none" w:color="000000" w:sz="4"/>
                <w:bottom w:val="none" w:color="000000" w:sz="4"/>
                <w:right w:val="none" w:color="000000" w:sz="4"/>
                <w:insideH w:val="none"/>
                <w:insideV w:val="none"/>
              </w:tblBorders>
            </w:tblPr>
            <w:tblGrid>
              <w:gridCol w:w="311"/>
              <w:gridCol w:w="454"/>
              <w:gridCol w:w="1159"/>
              <w:gridCol w:w="125"/>
              <w:gridCol w:w="126"/>
              <w:gridCol w:w="125"/>
              <w:gridCol w:w="126"/>
              <w:gridCol w:w="126"/>
            </w:tblGrid>
            <w:tr>
              <w:tc>
                <w:tcPr>
                  <w:tcW w:type="dxa" w:w="76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1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样方号</w:t>
                  </w:r>
                </w:p>
              </w:tc>
              <w:tc>
                <w:tcPr>
                  <w:tcW w:type="dxa" w:w="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w:t>
                  </w: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w:t>
                  </w:r>
                </w:p>
              </w:tc>
              <w:tc>
                <w:tcPr>
                  <w:tcW w:type="dxa" w:w="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w:t>
                  </w: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4</w:t>
                  </w: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w:t>
                  </w:r>
                </w:p>
              </w:tc>
            </w:tr>
            <w:tr>
              <w:tc>
                <w:tcPr>
                  <w:tcW w:type="dxa" w:w="76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灌木</w:t>
                  </w:r>
                </w:p>
                <w:p>
                  <w:pPr>
                    <w:pStyle w:val="null3"/>
                    <w:jc w:val="center"/>
                  </w:pPr>
                  <w:r>
                    <w:rPr>
                      <w:rFonts w:ascii="仿宋_GB2312" w:hAnsi="仿宋_GB2312" w:cs="仿宋_GB2312" w:eastAsia="仿宋_GB2312"/>
                      <w:sz w:val="21"/>
                    </w:rPr>
                    <w:t>样方面积</w:t>
                  </w:r>
                  <w:r>
                    <w:rPr>
                      <w:rFonts w:ascii="仿宋_GB2312" w:hAnsi="仿宋_GB2312" w:cs="仿宋_GB2312" w:eastAsia="仿宋_GB2312"/>
                      <w:sz w:val="21"/>
                    </w:rPr>
                    <w:t>(㎡)</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平均基径</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盖度</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平均高度</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叶总鲜重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叶带回样品鲜重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叶带回样品干重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枝总鲜重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枝带回样品鲜重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枝带回样品干重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草本</w:t>
                  </w:r>
                </w:p>
                <w:p>
                  <w:pPr>
                    <w:pStyle w:val="null3"/>
                    <w:jc w:val="center"/>
                  </w:pPr>
                  <w:r>
                    <w:rPr>
                      <w:rFonts w:ascii="仿宋_GB2312" w:hAnsi="仿宋_GB2312" w:cs="仿宋_GB2312" w:eastAsia="仿宋_GB2312"/>
                      <w:sz w:val="21"/>
                    </w:rPr>
                    <w:t>样方面积</w:t>
                  </w:r>
                  <w:r>
                    <w:rPr>
                      <w:rFonts w:ascii="仿宋_GB2312" w:hAnsi="仿宋_GB2312" w:cs="仿宋_GB2312" w:eastAsia="仿宋_GB2312"/>
                      <w:sz w:val="21"/>
                    </w:rPr>
                    <w:t>(㎡)</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盖度</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平均高</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凋落物</w:t>
                  </w:r>
                </w:p>
                <w:p>
                  <w:pPr>
                    <w:pStyle w:val="null3"/>
                    <w:jc w:val="center"/>
                  </w:pPr>
                  <w:r>
                    <w:rPr>
                      <w:rFonts w:ascii="仿宋_GB2312" w:hAnsi="仿宋_GB2312" w:cs="仿宋_GB2312" w:eastAsia="仿宋_GB2312"/>
                      <w:sz w:val="21"/>
                    </w:rPr>
                    <w:t>样方面积</w:t>
                  </w:r>
                  <w:r>
                    <w:rPr>
                      <w:rFonts w:ascii="仿宋_GB2312" w:hAnsi="仿宋_GB2312" w:cs="仿宋_GB2312" w:eastAsia="仿宋_GB2312"/>
                      <w:sz w:val="21"/>
                    </w:rPr>
                    <w:t>(㎡)</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腐殖质</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w:t>
                  </w: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0-10cm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10-20cm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20-40cm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 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环刀土壤千重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40-100cm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各层土样充分混合后取样</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植被调查记录表</w:t>
            </w:r>
          </w:p>
          <w:p>
            <w:pPr>
              <w:pStyle w:val="null3"/>
              <w:ind w:right="30" w:firstLine="400"/>
              <w:jc w:val="right"/>
            </w:pPr>
            <w:r>
              <w:rPr>
                <w:rFonts w:ascii="仿宋_GB2312" w:hAnsi="仿宋_GB2312" w:cs="仿宋_GB2312" w:eastAsia="仿宋_GB2312"/>
                <w:sz w:val="24"/>
              </w:rPr>
              <w:t>样方号</w:t>
            </w:r>
          </w:p>
          <w:tbl>
            <w:tblPr>
              <w:tblBorders>
                <w:top w:val="none" w:color="000000" w:sz="4"/>
                <w:left w:val="none" w:color="000000" w:sz="4"/>
                <w:bottom w:val="none" w:color="000000" w:sz="4"/>
                <w:right w:val="none" w:color="000000" w:sz="4"/>
                <w:insideH w:val="none"/>
                <w:insideV w:val="none"/>
              </w:tblBorders>
            </w:tblPr>
            <w:tblGrid>
              <w:gridCol w:w="168"/>
              <w:gridCol w:w="200"/>
              <w:gridCol w:w="359"/>
              <w:gridCol w:w="362"/>
              <w:gridCol w:w="219"/>
              <w:gridCol w:w="218"/>
              <w:gridCol w:w="290"/>
              <w:gridCol w:w="219"/>
              <w:gridCol w:w="263"/>
              <w:gridCol w:w="254"/>
            </w:tblGrid>
            <w:tr>
              <w:tc>
                <w:tcPr>
                  <w:tcW w:type="dxa" w:w="130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灌木</w:t>
                  </w:r>
                </w:p>
              </w:tc>
              <w:tc>
                <w:tcPr>
                  <w:tcW w:type="dxa" w:w="727"/>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草本</w:t>
                  </w:r>
                </w:p>
              </w:tc>
              <w:tc>
                <w:tcPr>
                  <w:tcW w:type="dxa" w:w="517"/>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地被物</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株数</w:t>
                  </w: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平均高</w:t>
                  </w:r>
                </w:p>
              </w:tc>
              <w:tc>
                <w:tcPr>
                  <w:tcW w:type="dxa" w:w="3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平均地径</w:t>
                  </w:r>
                </w:p>
              </w:tc>
              <w:tc>
                <w:tcPr>
                  <w:tcW w:type="dxa" w:w="2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盖度</w:t>
                  </w:r>
                </w:p>
              </w:tc>
              <w:tc>
                <w:tcPr>
                  <w:tcW w:type="dxa" w:w="2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平均高</w:t>
                  </w:r>
                </w:p>
              </w:tc>
              <w:tc>
                <w:tcPr>
                  <w:tcW w:type="dxa" w:w="2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盖度</w:t>
                  </w:r>
                </w:p>
              </w:tc>
              <w:tc>
                <w:tcPr>
                  <w:tcW w:type="dxa" w:w="26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盖度</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天然更新情况调查记录表</w:t>
            </w:r>
          </w:p>
          <w:p>
            <w:pPr>
              <w:pStyle w:val="null3"/>
              <w:ind w:right="30"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228"/>
              <w:gridCol w:w="473"/>
              <w:gridCol w:w="623"/>
              <w:gridCol w:w="472"/>
              <w:gridCol w:w="378"/>
              <w:gridCol w:w="378"/>
            </w:tblGrid>
            <w:tr>
              <w:tc>
                <w:tcPr>
                  <w:tcW w:type="dxa" w:w="22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树种</w:t>
                  </w:r>
                </w:p>
              </w:tc>
              <w:tc>
                <w:tcPr>
                  <w:tcW w:type="dxa" w:w="1568"/>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株数</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健康状况</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破坏情况</w:t>
                  </w:r>
                </w:p>
              </w:tc>
            </w:tr>
            <w:tr>
              <w:tc>
                <w:tcPr>
                  <w:tcW w:type="dxa" w:w="228"/>
                  <w:vMerge/>
                  <w:tcBorders>
                    <w:top w:val="single" w:color="000000" w:sz="4"/>
                    <w:left w:val="single" w:color="000000" w:sz="4"/>
                    <w:bottom w:val="single" w:color="000000" w:sz="4"/>
                    <w:right w:val="single" w:color="000000" w:sz="4"/>
                  </w:tcBorders>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w:t>
                  </w:r>
                  <w:r>
                    <w:rPr>
                      <w:rFonts w:ascii="仿宋_GB2312" w:hAnsi="仿宋_GB2312" w:cs="仿宋_GB2312" w:eastAsia="仿宋_GB2312"/>
                      <w:sz w:val="21"/>
                      <w:b/>
                    </w:rPr>
                    <w:t>30 cm</w:t>
                  </w: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30≤高＜50 cm</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w:t>
                  </w:r>
                  <w:r>
                    <w:rPr>
                      <w:rFonts w:ascii="仿宋_GB2312" w:hAnsi="仿宋_GB2312" w:cs="仿宋_GB2312" w:eastAsia="仿宋_GB2312"/>
                      <w:sz w:val="21"/>
                      <w:b/>
                    </w:rPr>
                    <w:t>≥50 cm</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下木调查记录表</w:t>
            </w:r>
          </w:p>
          <w:p>
            <w:pPr>
              <w:pStyle w:val="null3"/>
              <w:ind w:right="30"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284"/>
              <w:gridCol w:w="283"/>
              <w:gridCol w:w="284"/>
              <w:gridCol w:w="284"/>
              <w:gridCol w:w="283"/>
              <w:gridCol w:w="284"/>
              <w:gridCol w:w="284"/>
              <w:gridCol w:w="284"/>
              <w:gridCol w:w="284"/>
            </w:tblGrid>
            <w:tr>
              <w:tc>
                <w:tcPr>
                  <w:tcW w:type="dxa" w:w="2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高度</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高度</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高度</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w:t>
                  </w: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outlineLvl w:val="3"/>
            </w:pPr>
            <w:r>
              <w:rPr>
                <w:rFonts w:ascii="仿宋_GB2312" w:hAnsi="仿宋_GB2312" w:cs="仿宋_GB2312" w:eastAsia="仿宋_GB2312"/>
                <w:sz w:val="21"/>
                <w:b/>
              </w:rPr>
              <w:t>1.5碳储量计算</w:t>
            </w:r>
          </w:p>
          <w:p>
            <w:pPr>
              <w:pStyle w:val="null3"/>
            </w:pPr>
            <w:r>
              <w:rPr>
                <w:rFonts w:ascii="仿宋_GB2312" w:hAnsi="仿宋_GB2312" w:cs="仿宋_GB2312" w:eastAsia="仿宋_GB2312"/>
              </w:rPr>
              <w:t>监测样地碳汇量共有5项监测内容，分别为地上部分碳储量、地下部分碳储量、枯落物碳储量、枯死木碳储量以及土壤碳储量。</w:t>
            </w:r>
          </w:p>
          <w:p>
            <w:pPr>
              <w:pStyle w:val="null3"/>
            </w:pPr>
            <w:r>
              <w:rPr>
                <w:rFonts w:ascii="仿宋_GB2312" w:hAnsi="仿宋_GB2312" w:cs="仿宋_GB2312" w:eastAsia="仿宋_GB2312"/>
              </w:rPr>
              <w:t>（1）地上部分碳储量计算</w:t>
            </w:r>
          </w:p>
          <w:p>
            <w:pPr>
              <w:pStyle w:val="null3"/>
            </w:pPr>
            <w:r>
              <w:rPr>
                <w:rFonts w:ascii="仿宋_GB2312" w:hAnsi="仿宋_GB2312" w:cs="仿宋_GB2312" w:eastAsia="仿宋_GB2312"/>
              </w:rPr>
              <w:t>①乔木地上部分碳储量计算：</w:t>
            </w:r>
          </w:p>
          <w:p>
            <w:pPr>
              <w:pStyle w:val="null3"/>
            </w:pPr>
            <w:r>
              <w:rPr>
                <w:rFonts w:ascii="仿宋_GB2312" w:hAnsi="仿宋_GB2312" w:cs="仿宋_GB2312" w:eastAsia="仿宋_GB2312"/>
              </w:rPr>
              <w:t>采用森林生态系统碳库调查及测定获得的各树种单位面积蓄积量、树种的基本木材密度以及生物量扩展因子，计算公式如下。</w:t>
            </w:r>
          </w:p>
          <w:p>
            <w:pPr>
              <w:pStyle w:val="null3"/>
            </w:pPr>
            <w:r>
              <w:rPr>
                <w:rFonts w:ascii="仿宋_GB2312" w:hAnsi="仿宋_GB2312" w:cs="仿宋_GB2312" w:eastAsia="仿宋_GB2312"/>
              </w:rPr>
              <w:t>B乔木地上部分,k=V乔木,k×SVD乔木,k×BEF乔木,k</w:t>
            </w:r>
          </w:p>
          <w:p>
            <w:pPr>
              <w:pStyle w:val="null3"/>
              <w:ind w:firstLine="420"/>
              <w:jc w:val="both"/>
            </w:pPr>
            <w:r>
              <w:rPr>
                <w:rFonts w:ascii="仿宋_GB2312" w:hAnsi="仿宋_GB2312" w:cs="仿宋_GB2312" w:eastAsia="仿宋_GB2312"/>
              </w:rPr>
              <w:t>式中:</w:t>
            </w:r>
          </w:p>
          <w:p>
            <w:pPr>
              <w:pStyle w:val="null3"/>
            </w:pPr>
            <w:r>
              <w:rPr>
                <w:rFonts w:ascii="仿宋_GB2312" w:hAnsi="仿宋_GB2312" w:cs="仿宋_GB2312" w:eastAsia="仿宋_GB2312"/>
              </w:rPr>
              <w:t>V乔木，k--树种k单位面积蓄积量，单位为立方米每公顷(m/ hm2)；</w:t>
            </w:r>
          </w:p>
          <w:p>
            <w:pPr>
              <w:pStyle w:val="null3"/>
            </w:pPr>
            <w:r>
              <w:rPr>
                <w:rFonts w:ascii="仿宋_GB2312" w:hAnsi="仿宋_GB2312" w:cs="仿宋_GB2312" w:eastAsia="仿宋_GB2312"/>
              </w:rPr>
              <w:t>SVD乔木树种，k--树种k的基本木材(干物质)密度，单位为吨每立方米(t/m)；</w:t>
            </w:r>
          </w:p>
          <w:p>
            <w:pPr>
              <w:pStyle w:val="null3"/>
            </w:pPr>
            <w:r>
              <w:rPr>
                <w:rFonts w:ascii="仿宋_GB2312" w:hAnsi="仿宋_GB2312" w:cs="仿宋_GB2312" w:eastAsia="仿宋_GB2312"/>
              </w:rPr>
              <w:t>BEF乔木，k--树种k的生物量扩展因子。</w:t>
            </w:r>
          </w:p>
          <w:p>
            <w:pPr>
              <w:pStyle w:val="null3"/>
            </w:pPr>
            <w:r>
              <w:rPr>
                <w:rFonts w:ascii="仿宋_GB2312" w:hAnsi="仿宋_GB2312" w:cs="仿宋_GB2312" w:eastAsia="仿宋_GB2312"/>
              </w:rPr>
              <w:t>②灌木地上部分碳储量计算</w:t>
            </w:r>
          </w:p>
          <w:p>
            <w:pPr>
              <w:pStyle w:val="null3"/>
            </w:pPr>
            <w:r>
              <w:rPr>
                <w:rFonts w:ascii="仿宋_GB2312" w:hAnsi="仿宋_GB2312" w:cs="仿宋_GB2312" w:eastAsia="仿宋_GB2312"/>
              </w:rPr>
              <w:t>灌木层地上部分碳储量应根据林地灌木地上部分平均单位面积生物量、灌木含碳率以及林分面积，计算公式如下。</w:t>
            </w:r>
          </w:p>
          <w:p>
            <w:pPr>
              <w:pStyle w:val="null3"/>
            </w:pPr>
            <w:r>
              <w:rPr>
                <w:rFonts w:ascii="仿宋_GB2312" w:hAnsi="仿宋_GB2312" w:cs="仿宋_GB2312" w:eastAsia="仿宋_GB2312"/>
              </w:rPr>
              <w:t>C灌木地上部分=B灌木地上部分×CF灌木×S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C灌木地上部分--林分中灌木层地上部分碳储量，单位为吨(t)；</w:t>
            </w:r>
          </w:p>
          <w:p>
            <w:pPr>
              <w:pStyle w:val="null3"/>
            </w:pPr>
            <w:r>
              <w:rPr>
                <w:rFonts w:ascii="仿宋_GB2312" w:hAnsi="仿宋_GB2312" w:cs="仿宋_GB2312" w:eastAsia="仿宋_GB2312"/>
              </w:rPr>
              <w:t>B灌木地上部分--林分中灌木层地上部分平均单位面积生物量(干物质)，单位为吨每公顷(t/hm2)；</w:t>
            </w:r>
          </w:p>
          <w:p>
            <w:pPr>
              <w:pStyle w:val="null3"/>
            </w:pPr>
            <w:r>
              <w:rPr>
                <w:rFonts w:ascii="仿宋_GB2312" w:hAnsi="仿宋_GB2312" w:cs="仿宋_GB2312" w:eastAsia="仿宋_GB2312"/>
              </w:rPr>
              <w:t>CF灌木--灌木每吨干物质平均含碳量，单位为吨每吨(t/t)。</w:t>
            </w:r>
          </w:p>
          <w:p>
            <w:pPr>
              <w:pStyle w:val="null3"/>
            </w:pPr>
            <w:r>
              <w:rPr>
                <w:rFonts w:ascii="仿宋_GB2312" w:hAnsi="仿宋_GB2312" w:cs="仿宋_GB2312" w:eastAsia="仿宋_GB2312"/>
              </w:rPr>
              <w:t>③草本层地上部分储量计算</w:t>
            </w:r>
          </w:p>
          <w:p>
            <w:pPr>
              <w:pStyle w:val="null3"/>
            </w:pPr>
            <w:r>
              <w:rPr>
                <w:rFonts w:ascii="仿宋_GB2312" w:hAnsi="仿宋_GB2312" w:cs="仿宋_GB2312" w:eastAsia="仿宋_GB2312"/>
              </w:rPr>
              <w:t>草本层地上部分碳储量应根据林地草本地上部分平均单位面积生物量、草本植物平均含碳率及林分面积获得：</w:t>
            </w:r>
          </w:p>
          <w:p>
            <w:pPr>
              <w:pStyle w:val="null3"/>
            </w:pPr>
            <w:r>
              <w:rPr>
                <w:rFonts w:ascii="仿宋_GB2312" w:hAnsi="仿宋_GB2312" w:cs="仿宋_GB2312" w:eastAsia="仿宋_GB2312"/>
              </w:rPr>
              <w:t>C草本地上部分=B草本地上部分×CF草本×S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C草本地上部分--林分中草本层地上部分碳储量，单位为吨(t)；</w:t>
            </w:r>
          </w:p>
          <w:p>
            <w:pPr>
              <w:pStyle w:val="null3"/>
            </w:pPr>
            <w:r>
              <w:rPr>
                <w:rFonts w:ascii="仿宋_GB2312" w:hAnsi="仿宋_GB2312" w:cs="仿宋_GB2312" w:eastAsia="仿宋_GB2312"/>
              </w:rPr>
              <w:t>B草本地上部分--林分中草本层地上部分平均单位面积生物量(干物质)，单位为吨每公顷(t/hm2)；</w:t>
            </w:r>
          </w:p>
          <w:p>
            <w:pPr>
              <w:pStyle w:val="null3"/>
            </w:pPr>
            <w:r>
              <w:rPr>
                <w:rFonts w:ascii="仿宋_GB2312" w:hAnsi="仿宋_GB2312" w:cs="仿宋_GB2312" w:eastAsia="仿宋_GB2312"/>
              </w:rPr>
              <w:t>CF草本--草本植物(每吨干物质)平均含碳量，单位吨每吨(t/t)。</w:t>
            </w:r>
          </w:p>
          <w:p>
            <w:pPr>
              <w:pStyle w:val="null3"/>
            </w:pPr>
            <w:r>
              <w:rPr>
                <w:rFonts w:ascii="仿宋_GB2312" w:hAnsi="仿宋_GB2312" w:cs="仿宋_GB2312" w:eastAsia="仿宋_GB2312"/>
              </w:rPr>
              <w:t>（2）地下部分储量计算</w:t>
            </w:r>
          </w:p>
          <w:p>
            <w:pPr>
              <w:pStyle w:val="null3"/>
            </w:pPr>
            <w:r>
              <w:rPr>
                <w:rFonts w:ascii="仿宋_GB2312" w:hAnsi="仿宋_GB2312" w:cs="仿宋_GB2312" w:eastAsia="仿宋_GB2312"/>
              </w:rPr>
              <w:t>①乔木地下部分碳储量计算：</w:t>
            </w:r>
          </w:p>
          <w:p>
            <w:pPr>
              <w:pStyle w:val="null3"/>
            </w:pPr>
            <w:r>
              <w:rPr>
                <w:rFonts w:ascii="仿宋_GB2312" w:hAnsi="仿宋_GB2312" w:cs="仿宋_GB2312" w:eastAsia="仿宋_GB2312"/>
              </w:rPr>
              <w:t>森林生态系统乔木地下部分碳储量应根据组成林分各树种的单位面积地下生物量、树种含碳率及林分面积获得：</w:t>
            </w:r>
          </w:p>
          <w:p>
            <w:pPr>
              <w:pStyle w:val="null3"/>
            </w:pPr>
            <w:r>
              <w:rPr>
                <w:rFonts w:ascii="仿宋_GB2312" w:hAnsi="仿宋_GB2312" w:cs="仿宋_GB2312" w:eastAsia="仿宋_GB2312"/>
              </w:rPr>
              <w:t>C乔木地下部分= B乔木地下部分×CF乔木，k×S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C乔木地下部分--林分乔木地下部分生物质碳储量，单位为吨(t)；</w:t>
            </w:r>
          </w:p>
          <w:p>
            <w:pPr>
              <w:pStyle w:val="null3"/>
            </w:pPr>
            <w:r>
              <w:rPr>
                <w:rFonts w:ascii="仿宋_GB2312" w:hAnsi="仿宋_GB2312" w:cs="仿宋_GB2312" w:eastAsia="仿宋_GB2312"/>
              </w:rPr>
              <w:t>B乔木地下部分,k--林分中树种k的平均单位面积地下生物量(干物质)，单位为吨每公顷(t/hm2)。</w:t>
            </w:r>
          </w:p>
          <w:p>
            <w:pPr>
              <w:pStyle w:val="null3"/>
            </w:pPr>
            <w:r>
              <w:rPr>
                <w:rFonts w:ascii="仿宋_GB2312" w:hAnsi="仿宋_GB2312" w:cs="仿宋_GB2312" w:eastAsia="仿宋_GB2312"/>
              </w:rPr>
              <w:t>式中的B乔木地下部分,k应按顺序选择以下方式获得：</w:t>
            </w:r>
          </w:p>
          <w:p>
            <w:pPr>
              <w:pStyle w:val="null3"/>
            </w:pPr>
            <w:r>
              <w:rPr>
                <w:rFonts w:ascii="仿宋_GB2312" w:hAnsi="仿宋_GB2312" w:cs="仿宋_GB2312" w:eastAsia="仿宋_GB2312"/>
              </w:rPr>
              <w:t>a)采用森林生态系统碳库调查获得的各树种的平均单位面积地下生物量结果；</w:t>
            </w:r>
          </w:p>
          <w:p>
            <w:pPr>
              <w:pStyle w:val="null3"/>
            </w:pPr>
            <w:r>
              <w:rPr>
                <w:rFonts w:ascii="仿宋_GB2312" w:hAnsi="仿宋_GB2312" w:cs="仿宋_GB2312" w:eastAsia="仿宋_GB2312"/>
              </w:rPr>
              <w:t>b) 根据RSR值，通过式得到：</w:t>
            </w:r>
          </w:p>
          <w:p>
            <w:pPr>
              <w:pStyle w:val="null3"/>
            </w:pPr>
            <w:r>
              <w:rPr>
                <w:rFonts w:ascii="仿宋_GB2312" w:hAnsi="仿宋_GB2312" w:cs="仿宋_GB2312" w:eastAsia="仿宋_GB2312"/>
              </w:rPr>
              <w:t>B乔木地下部分,k=B乔木地上部分,k×RSRk</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RSRk--树种k地下生物量与地上生物量的比值。</w:t>
            </w:r>
          </w:p>
          <w:p>
            <w:pPr>
              <w:pStyle w:val="null3"/>
            </w:pPr>
            <w:r>
              <w:rPr>
                <w:rFonts w:ascii="仿宋_GB2312" w:hAnsi="仿宋_GB2312" w:cs="仿宋_GB2312" w:eastAsia="仿宋_GB2312"/>
              </w:rPr>
              <w:t>②灌木地下部分储量计算</w:t>
            </w:r>
          </w:p>
          <w:p>
            <w:pPr>
              <w:pStyle w:val="null3"/>
            </w:pPr>
            <w:r>
              <w:rPr>
                <w:rFonts w:ascii="仿宋_GB2312" w:hAnsi="仿宋_GB2312" w:cs="仿宋_GB2312" w:eastAsia="仿宋_GB2312"/>
              </w:rPr>
              <w:t>灌木层地下部分碳储量应根据林地灌木地下部分平均单位面积生物量、灌木含碳率以及林分面积，计算公式如下。</w:t>
            </w:r>
          </w:p>
          <w:p>
            <w:pPr>
              <w:pStyle w:val="null3"/>
            </w:pPr>
            <w:r>
              <w:rPr>
                <w:rFonts w:ascii="仿宋_GB2312" w:hAnsi="仿宋_GB2312" w:cs="仿宋_GB2312" w:eastAsia="仿宋_GB2312"/>
              </w:rPr>
              <w:t>C灌木地下部分=B灌木地下部分×CF灌木×S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C灌木地下部分--林分中灌木层地上部分碳储量，单位为吨(t)；</w:t>
            </w:r>
          </w:p>
          <w:p>
            <w:pPr>
              <w:pStyle w:val="null3"/>
            </w:pPr>
            <w:r>
              <w:rPr>
                <w:rFonts w:ascii="仿宋_GB2312" w:hAnsi="仿宋_GB2312" w:cs="仿宋_GB2312" w:eastAsia="仿宋_GB2312"/>
              </w:rPr>
              <w:t>B灌木地下部分--林分中灌木层地上部分平均单位面积生物量(干物质)，单位为吨每公顷(t/hm2)；</w:t>
            </w:r>
          </w:p>
          <w:p>
            <w:pPr>
              <w:pStyle w:val="null3"/>
            </w:pPr>
            <w:r>
              <w:rPr>
                <w:rFonts w:ascii="仿宋_GB2312" w:hAnsi="仿宋_GB2312" w:cs="仿宋_GB2312" w:eastAsia="仿宋_GB2312"/>
              </w:rPr>
              <w:t>CF灌木--灌木每吨干物质平均含碳量，单位为吨每吨(t/t)。</w:t>
            </w:r>
          </w:p>
          <w:p>
            <w:pPr>
              <w:pStyle w:val="null3"/>
            </w:pPr>
            <w:r>
              <w:rPr>
                <w:rFonts w:ascii="仿宋_GB2312" w:hAnsi="仿宋_GB2312" w:cs="仿宋_GB2312" w:eastAsia="仿宋_GB2312"/>
              </w:rPr>
              <w:t>③草本地下部分储量计算</w:t>
            </w:r>
          </w:p>
          <w:p>
            <w:pPr>
              <w:pStyle w:val="null3"/>
            </w:pPr>
            <w:r>
              <w:rPr>
                <w:rFonts w:ascii="仿宋_GB2312" w:hAnsi="仿宋_GB2312" w:cs="仿宋_GB2312" w:eastAsia="仿宋_GB2312"/>
              </w:rPr>
              <w:t>草本层地下部分碳储量应根据林地草本地上部分平均单位面积生物量、草本植物平均含碳率及林分面积获得：</w:t>
            </w:r>
          </w:p>
          <w:p>
            <w:pPr>
              <w:pStyle w:val="null3"/>
            </w:pPr>
            <w:r>
              <w:rPr>
                <w:rFonts w:ascii="仿宋_GB2312" w:hAnsi="仿宋_GB2312" w:cs="仿宋_GB2312" w:eastAsia="仿宋_GB2312"/>
              </w:rPr>
              <w:t>C草本地下部分=B草本地下部分×CF草本×S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C草本地下部分--林分中草本层地上部分碳储量，单位为吨(t)；</w:t>
            </w:r>
          </w:p>
          <w:p>
            <w:pPr>
              <w:pStyle w:val="null3"/>
            </w:pPr>
            <w:r>
              <w:rPr>
                <w:rFonts w:ascii="仿宋_GB2312" w:hAnsi="仿宋_GB2312" w:cs="仿宋_GB2312" w:eastAsia="仿宋_GB2312"/>
              </w:rPr>
              <w:t>B草本地下部分--林分中草本层地上部分平均单位面积生物量(干物质)，单位为吨每公顷(t/hm2)；</w:t>
            </w:r>
          </w:p>
          <w:p>
            <w:pPr>
              <w:pStyle w:val="null3"/>
            </w:pPr>
            <w:r>
              <w:rPr>
                <w:rFonts w:ascii="仿宋_GB2312" w:hAnsi="仿宋_GB2312" w:cs="仿宋_GB2312" w:eastAsia="仿宋_GB2312"/>
              </w:rPr>
              <w:t>CF草本--草本植物每吨干物质平均含碳量，单位吨每吨(t/t)。</w:t>
            </w:r>
          </w:p>
          <w:p>
            <w:pPr>
              <w:pStyle w:val="null3"/>
            </w:pPr>
            <w:r>
              <w:rPr>
                <w:rFonts w:ascii="仿宋_GB2312" w:hAnsi="仿宋_GB2312" w:cs="仿宋_GB2312" w:eastAsia="仿宋_GB2312"/>
              </w:rPr>
              <w:t>（3）枯落物碳储量计算</w:t>
            </w:r>
          </w:p>
          <w:p>
            <w:pPr>
              <w:pStyle w:val="null3"/>
            </w:pPr>
            <w:r>
              <w:rPr>
                <w:rFonts w:ascii="仿宋_GB2312" w:hAnsi="仿宋_GB2312" w:cs="仿宋_GB2312" w:eastAsia="仿宋_GB2312"/>
              </w:rPr>
              <w:t>森林生态系统枯落物碳储量应根据林地枯落物平均单位面积生物量、枯落物含碳率以及林分面积采用以下公式计算：</w:t>
            </w:r>
          </w:p>
          <w:p>
            <w:pPr>
              <w:pStyle w:val="null3"/>
            </w:pPr>
            <w:r>
              <w:rPr>
                <w:rFonts w:ascii="仿宋_GB2312" w:hAnsi="仿宋_GB2312" w:cs="仿宋_GB2312" w:eastAsia="仿宋_GB2312"/>
              </w:rPr>
              <w:t>C枯落物=B枯落物×CF枯落物×S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C枯落物--林分中枯落物碳储量，单位为吨(t)；</w:t>
            </w:r>
          </w:p>
          <w:p>
            <w:pPr>
              <w:pStyle w:val="null3"/>
            </w:pPr>
            <w:r>
              <w:rPr>
                <w:rFonts w:ascii="仿宋_GB2312" w:hAnsi="仿宋_GB2312" w:cs="仿宋_GB2312" w:eastAsia="仿宋_GB2312"/>
              </w:rPr>
              <w:t>B枯落物--林分中枯落物平均单位面积生物量(干物质)，单位为吨每公顷(t/hm2)；</w:t>
            </w:r>
          </w:p>
          <w:p>
            <w:pPr>
              <w:pStyle w:val="null3"/>
            </w:pPr>
            <w:r>
              <w:rPr>
                <w:rFonts w:ascii="仿宋_GB2312" w:hAnsi="仿宋_GB2312" w:cs="仿宋_GB2312" w:eastAsia="仿宋_GB2312"/>
              </w:rPr>
              <w:t>CF枯落物--枯落物每吨干物质平均含碳量，单位为吨每吨(t/t)；</w:t>
            </w:r>
          </w:p>
          <w:p>
            <w:pPr>
              <w:pStyle w:val="null3"/>
            </w:pPr>
            <w:r>
              <w:rPr>
                <w:rFonts w:ascii="仿宋_GB2312" w:hAnsi="仿宋_GB2312" w:cs="仿宋_GB2312" w:eastAsia="仿宋_GB2312"/>
              </w:rPr>
              <w:t>式中的B枯落物和CF枯落物应采用森林生态系统碳库调查及测定结果获得。</w:t>
            </w:r>
          </w:p>
          <w:p>
            <w:pPr>
              <w:pStyle w:val="null3"/>
            </w:pPr>
            <w:r>
              <w:rPr>
                <w:rFonts w:ascii="仿宋_GB2312" w:hAnsi="仿宋_GB2312" w:cs="仿宋_GB2312" w:eastAsia="仿宋_GB2312"/>
              </w:rPr>
              <w:t>（4）枯死木碳储量计算</w:t>
            </w:r>
          </w:p>
          <w:p>
            <w:pPr>
              <w:pStyle w:val="null3"/>
            </w:pPr>
            <w:r>
              <w:rPr>
                <w:rFonts w:ascii="仿宋_GB2312" w:hAnsi="仿宋_GB2312" w:cs="仿宋_GB2312" w:eastAsia="仿宋_GB2312"/>
              </w:rPr>
              <w:t>森林生态系统枯死木碳库碳储量应根据林地枯死木平均单位面积生物量、枯死木含碳率以及林分面积采用以下公式计算：</w:t>
            </w:r>
          </w:p>
          <w:p>
            <w:pPr>
              <w:pStyle w:val="null3"/>
            </w:pPr>
            <w:r>
              <w:rPr>
                <w:rFonts w:ascii="仿宋_GB2312" w:hAnsi="仿宋_GB2312" w:cs="仿宋_GB2312" w:eastAsia="仿宋_GB2312"/>
              </w:rPr>
              <w:t>C枯死木=B枯死木×CF枯死木×S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C枯死木--林分中枯死木碳储量，单位为吨(t)；</w:t>
            </w:r>
          </w:p>
          <w:p>
            <w:pPr>
              <w:pStyle w:val="null3"/>
            </w:pPr>
            <w:r>
              <w:rPr>
                <w:rFonts w:ascii="仿宋_GB2312" w:hAnsi="仿宋_GB2312" w:cs="仿宋_GB2312" w:eastAsia="仿宋_GB2312"/>
              </w:rPr>
              <w:t>B枯死木--林分中枯死木平均单位面积生物量(干物质)，单位为吨每公顷(t/hm2)；</w:t>
            </w:r>
          </w:p>
          <w:p>
            <w:pPr>
              <w:pStyle w:val="null3"/>
            </w:pPr>
            <w:r>
              <w:rPr>
                <w:rFonts w:ascii="仿宋_GB2312" w:hAnsi="仿宋_GB2312" w:cs="仿宋_GB2312" w:eastAsia="仿宋_GB2312"/>
              </w:rPr>
              <w:t>CF枯死木--枯死木每吨干物质平均含碳量，单位为吨每吨(t/t)。</w:t>
            </w:r>
          </w:p>
          <w:p>
            <w:pPr>
              <w:pStyle w:val="null3"/>
            </w:pPr>
            <w:r>
              <w:rPr>
                <w:rFonts w:ascii="仿宋_GB2312" w:hAnsi="仿宋_GB2312" w:cs="仿宋_GB2312" w:eastAsia="仿宋_GB2312"/>
              </w:rPr>
              <w:t>式中的B枯死木和CF枯死木应采用森林生态系统碳库调查及测定结果。</w:t>
            </w:r>
          </w:p>
          <w:p>
            <w:pPr>
              <w:pStyle w:val="null3"/>
            </w:pPr>
            <w:r>
              <w:rPr>
                <w:rFonts w:ascii="仿宋_GB2312" w:hAnsi="仿宋_GB2312" w:cs="仿宋_GB2312" w:eastAsia="仿宋_GB2312"/>
              </w:rPr>
              <w:t>（5）土壤碳储量计算</w:t>
            </w:r>
          </w:p>
          <w:p>
            <w:pPr>
              <w:pStyle w:val="null3"/>
            </w:pPr>
            <w:r>
              <w:rPr>
                <w:rFonts w:ascii="仿宋_GB2312" w:hAnsi="仿宋_GB2312" w:cs="仿宋_GB2312" w:eastAsia="仿宋_GB2312"/>
              </w:rPr>
              <w:t>森林生态系统碳库碳储量根据土壤有机碳密度及林分面积，采用以下公式计算：</w:t>
            </w:r>
          </w:p>
          <w:p>
            <w:pPr>
              <w:pStyle w:val="null3"/>
            </w:pPr>
            <w:r>
              <w:rPr>
                <w:rFonts w:ascii="仿宋_GB2312" w:hAnsi="仿宋_GB2312" w:cs="仿宋_GB2312" w:eastAsia="仿宋_GB2312"/>
              </w:rPr>
              <w:t>C土壤=SOCC土壤×S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C土壤--林分中土壤碳储量，单位为吨(t)；</w:t>
            </w:r>
          </w:p>
          <w:p>
            <w:pPr>
              <w:pStyle w:val="null3"/>
            </w:pPr>
            <w:r>
              <w:rPr>
                <w:rFonts w:ascii="仿宋_GB2312" w:hAnsi="仿宋_GB2312" w:cs="仿宋_GB2312" w:eastAsia="仿宋_GB2312"/>
              </w:rPr>
              <w:t>SOCC土壤--林分土壤有机碳密度，单位为吨每公顷(t/hm)。</w:t>
            </w:r>
          </w:p>
          <w:p>
            <w:pPr>
              <w:pStyle w:val="null3"/>
            </w:pPr>
            <w:r>
              <w:rPr>
                <w:rFonts w:ascii="仿宋_GB2312" w:hAnsi="仿宋_GB2312" w:cs="仿宋_GB2312" w:eastAsia="仿宋_GB2312"/>
              </w:rPr>
              <w:t>式中的SOCC土壤，应采用森林生态系统碳库调查及测定结果。</w:t>
            </w:r>
          </w:p>
          <w:p>
            <w:pPr>
              <w:pStyle w:val="null3"/>
            </w:pPr>
            <w:r>
              <w:rPr>
                <w:rFonts w:ascii="仿宋_GB2312" w:hAnsi="仿宋_GB2312" w:cs="仿宋_GB2312" w:eastAsia="仿宋_GB2312"/>
                <w:sz w:val="21"/>
              </w:rPr>
              <w:t>1.5.6智能化监测示范样地</w:t>
            </w:r>
          </w:p>
          <w:p>
            <w:pPr>
              <w:pStyle w:val="null3"/>
            </w:pPr>
            <w:r>
              <w:rPr>
                <w:rFonts w:ascii="仿宋_GB2312" w:hAnsi="仿宋_GB2312" w:cs="仿宋_GB2312" w:eastAsia="仿宋_GB2312"/>
              </w:rPr>
              <w:t>（1）设置原则</w:t>
            </w:r>
          </w:p>
          <w:p>
            <w:pPr>
              <w:pStyle w:val="null3"/>
            </w:pPr>
            <w:r>
              <w:rPr>
                <w:rFonts w:ascii="仿宋_GB2312" w:hAnsi="仿宋_GB2312" w:cs="仿宋_GB2312" w:eastAsia="仿宋_GB2312"/>
              </w:rPr>
              <w:t>根据不同碳库类型，在每个示范基地，选择具有典型性、代表性区域设置智能化监测示范样地。每个示范基地布设至少1组示范监测样地和对照样地。</w:t>
            </w:r>
          </w:p>
          <w:p>
            <w:pPr>
              <w:pStyle w:val="null3"/>
            </w:pPr>
            <w:r>
              <w:rPr>
                <w:rFonts w:ascii="仿宋_GB2312" w:hAnsi="仿宋_GB2312" w:cs="仿宋_GB2312" w:eastAsia="仿宋_GB2312"/>
              </w:rPr>
              <w:t>（2）设置目的</w:t>
            </w:r>
          </w:p>
          <w:p>
            <w:pPr>
              <w:pStyle w:val="null3"/>
            </w:pPr>
            <w:r>
              <w:rPr>
                <w:rFonts w:ascii="仿宋_GB2312" w:hAnsi="仿宋_GB2312" w:cs="仿宋_GB2312" w:eastAsia="仿宋_GB2312"/>
              </w:rPr>
              <w:t>智能化示范监测样地核心是以智能化、自动化监测设备为基础，运用物联网、大数据、5G等现代技术，建立“绿色碳库”碳汇计量监测管理平台，实现试点示范项目监测样地与省级计量监测中心数据互联互通、共建共享，实时掌握“绿色碳库”试点示范项目碳汇动态变化情况，构建监测数据汇聚、存储、管理、展示、分析等基础能力。</w:t>
            </w:r>
          </w:p>
          <w:p>
            <w:pPr>
              <w:pStyle w:val="null3"/>
            </w:pPr>
            <w:r>
              <w:rPr>
                <w:rFonts w:ascii="仿宋_GB2312" w:hAnsi="仿宋_GB2312" w:cs="仿宋_GB2312" w:eastAsia="仿宋_GB2312"/>
              </w:rPr>
              <w:t>（3）样地设置</w:t>
            </w:r>
          </w:p>
          <w:p>
            <w:pPr>
              <w:pStyle w:val="null3"/>
            </w:pPr>
            <w:r>
              <w:rPr>
                <w:rFonts w:ascii="仿宋_GB2312" w:hAnsi="仿宋_GB2312" w:cs="仿宋_GB2312" w:eastAsia="仿宋_GB2312"/>
              </w:rPr>
              <w:t>A. 样地、样方内采用智慧中心桩作为样地标记并作为通讯网关实现森林小气土壤监测等各类传感器数据回传。智能化监测示范样地、样方设置方式及样地样方规格与常规监测样地一致，样地因子、样方调查方法参照常规监测样地。</w:t>
            </w:r>
          </w:p>
          <w:p>
            <w:pPr>
              <w:pStyle w:val="null3"/>
            </w:pPr>
            <w:r>
              <w:rPr>
                <w:rFonts w:ascii="仿宋_GB2312" w:hAnsi="仿宋_GB2312" w:cs="仿宋_GB2312" w:eastAsia="仿宋_GB2312"/>
              </w:rPr>
              <w:t>B. 对示范监测样地内所有胸径大于5cm的活立木，在树高1.3m处挂设树木生长智能监测仪，实时测量树木胸径生长量。</w:t>
            </w:r>
          </w:p>
          <w:p>
            <w:pPr>
              <w:pStyle w:val="null3"/>
            </w:pPr>
            <w:r>
              <w:rPr>
                <w:rFonts w:ascii="仿宋_GB2312" w:hAnsi="仿宋_GB2312" w:cs="仿宋_GB2312" w:eastAsia="仿宋_GB2312"/>
              </w:rPr>
              <w:t>C. 在示范监测样地内中心区域，设置碳通量监测塔(杆)，架设二氧化碳、负氧离子浓度、空气温湿度、风速、风向、PM2.5、PM10、大气压力、雨量、氧气、土壤温湿度、PH值、电导率等监测仪器设备，以林木生长、大气、水、土壤传感器为核心，构筑多点分布的生态环境采集实时监测数据，为实现监测样地自动化、智能化监测提供科学数据。</w:t>
            </w:r>
          </w:p>
          <w:p>
            <w:pPr>
              <w:pStyle w:val="null3"/>
            </w:pPr>
            <w:r>
              <w:rPr>
                <w:rFonts w:ascii="仿宋_GB2312" w:hAnsi="仿宋_GB2312" w:cs="仿宋_GB2312" w:eastAsia="仿宋_GB2312"/>
              </w:rPr>
              <w:t>D.为保证样地内设备的安全性，需要在样地周围设置围栏。围栏的设置要规范、统一、醒目。</w:t>
            </w:r>
          </w:p>
          <w:p>
            <w:pPr>
              <w:pStyle w:val="null3"/>
              <w:jc w:val="center"/>
            </w:pPr>
            <w:r>
              <w:rPr>
                <w:rFonts w:ascii="仿宋_GB2312" w:hAnsi="仿宋_GB2312" w:cs="仿宋_GB2312" w:eastAsia="仿宋_GB2312"/>
                <w:sz w:val="24"/>
                <w:b/>
              </w:rPr>
              <w:t>智能化示范样地自动监测仪器设备清单</w:t>
            </w:r>
          </w:p>
          <w:tbl>
            <w:tblPr>
              <w:tblBorders>
                <w:top w:val="none" w:color="000000" w:sz="4"/>
                <w:left w:val="none" w:color="000000" w:sz="4"/>
                <w:bottom w:val="none" w:color="000000" w:sz="4"/>
                <w:right w:val="none" w:color="000000" w:sz="4"/>
                <w:insideH w:val="none"/>
                <w:insideV w:val="none"/>
              </w:tblBorders>
            </w:tblPr>
            <w:tblGrid>
              <w:gridCol w:w="146"/>
              <w:gridCol w:w="346"/>
              <w:gridCol w:w="1812"/>
              <w:gridCol w:w="250"/>
            </w:tblGrid>
            <w:tr>
              <w:tc>
                <w:tcPr>
                  <w:tcW w:type="dxa" w:w="1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序号</w:t>
                  </w:r>
                </w:p>
              </w:tc>
              <w:tc>
                <w:tcPr>
                  <w:tcW w:type="dxa" w:w="3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设备名称</w:t>
                  </w:r>
                </w:p>
              </w:tc>
              <w:tc>
                <w:tcPr>
                  <w:tcW w:type="dxa" w:w="18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主要参数指标</w:t>
                  </w:r>
                </w:p>
              </w:tc>
              <w:tc>
                <w:tcPr>
                  <w:tcW w:type="dxa" w:w="2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数量</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物联网智能</w:t>
                  </w:r>
                  <w:r>
                    <w:rPr>
                      <w:rFonts w:ascii="仿宋_GB2312" w:hAnsi="仿宋_GB2312" w:cs="仿宋_GB2312" w:eastAsia="仿宋_GB2312"/>
                      <w:sz w:val="21"/>
                    </w:rPr>
                    <w:t>AI主机</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全网通</w:t>
                  </w:r>
                  <w:r>
                    <w:rPr>
                      <w:rFonts w:ascii="仿宋_GB2312" w:hAnsi="仿宋_GB2312" w:cs="仿宋_GB2312" w:eastAsia="仿宋_GB2312"/>
                      <w:sz w:val="21"/>
                    </w:rPr>
                    <w:t>4G 物联网监控主机，数据上传支持TCP／IP／UDP /MQTT 协议，通信距离≥1500 米，支持市电及太阳能供电，IP66以上防护能力。</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乔木杆径视觉传感器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成像质量：</w:t>
                  </w:r>
                  <w:r>
                    <w:rPr>
                      <w:rFonts w:ascii="仿宋_GB2312" w:hAnsi="仿宋_GB2312" w:cs="仿宋_GB2312" w:eastAsia="仿宋_GB2312"/>
                      <w:sz w:val="21"/>
                    </w:rPr>
                    <w:t xml:space="preserve">≥500w像素 </w:t>
                  </w:r>
                  <w:r>
                    <w:br/>
                  </w:r>
                  <w:r>
                    <w:rPr>
                      <w:rFonts w:ascii="仿宋_GB2312" w:hAnsi="仿宋_GB2312" w:cs="仿宋_GB2312" w:eastAsia="仿宋_GB2312"/>
                      <w:sz w:val="21"/>
                    </w:rPr>
                    <w:t>电源电压：</w:t>
                  </w:r>
                  <w:r>
                    <w:rPr>
                      <w:rFonts w:ascii="仿宋_GB2312" w:hAnsi="仿宋_GB2312" w:cs="仿宋_GB2312" w:eastAsia="仿宋_GB2312"/>
                      <w:sz w:val="21"/>
                    </w:rPr>
                    <w:t xml:space="preserve">12V </w:t>
                  </w:r>
                  <w:r>
                    <w:br/>
                  </w:r>
                  <w:r>
                    <w:rPr>
                      <w:rFonts w:ascii="仿宋_GB2312" w:hAnsi="仿宋_GB2312" w:cs="仿宋_GB2312" w:eastAsia="仿宋_GB2312"/>
                      <w:sz w:val="21"/>
                    </w:rPr>
                    <w:t>环境温度：</w:t>
                  </w:r>
                  <w:r>
                    <w:rPr>
                      <w:rFonts w:ascii="仿宋_GB2312" w:hAnsi="仿宋_GB2312" w:cs="仿宋_GB2312" w:eastAsia="仿宋_GB2312"/>
                      <w:sz w:val="21"/>
                    </w:rPr>
                    <w:t xml:space="preserve">-35℃--+70℃ </w:t>
                  </w:r>
                  <w:r>
                    <w:br/>
                  </w:r>
                  <w:r>
                    <w:rPr>
                      <w:rFonts w:ascii="仿宋_GB2312" w:hAnsi="仿宋_GB2312" w:cs="仿宋_GB2312" w:eastAsia="仿宋_GB2312"/>
                      <w:sz w:val="21"/>
                    </w:rPr>
                    <w:t>镜头焦距：</w:t>
                  </w:r>
                  <w:r>
                    <w:rPr>
                      <w:rFonts w:ascii="仿宋_GB2312" w:hAnsi="仿宋_GB2312" w:cs="仿宋_GB2312" w:eastAsia="仿宋_GB2312"/>
                      <w:sz w:val="21"/>
                    </w:rPr>
                    <w:t xml:space="preserve">6mm </w:t>
                  </w:r>
                  <w:r>
                    <w:br/>
                  </w:r>
                  <w:r>
                    <w:rPr>
                      <w:rFonts w:ascii="仿宋_GB2312" w:hAnsi="仿宋_GB2312" w:cs="仿宋_GB2312" w:eastAsia="仿宋_GB2312"/>
                      <w:sz w:val="21"/>
                    </w:rPr>
                    <w:t>通信方式：</w:t>
                  </w:r>
                  <w:r>
                    <w:rPr>
                      <w:rFonts w:ascii="仿宋_GB2312" w:hAnsi="仿宋_GB2312" w:cs="仿宋_GB2312" w:eastAsia="仿宋_GB2312"/>
                      <w:sz w:val="21"/>
                    </w:rPr>
                    <w:t xml:space="preserve">RS485/4G </w:t>
                  </w:r>
                  <w:r>
                    <w:br/>
                  </w:r>
                  <w:r>
                    <w:rPr>
                      <w:rFonts w:ascii="仿宋_GB2312" w:hAnsi="仿宋_GB2312" w:cs="仿宋_GB2312" w:eastAsia="仿宋_GB2312"/>
                      <w:sz w:val="21"/>
                    </w:rPr>
                    <w:t>精确程度：</w:t>
                  </w:r>
                  <w:r>
                    <w:rPr>
                      <w:rFonts w:ascii="仿宋_GB2312" w:hAnsi="仿宋_GB2312" w:cs="仿宋_GB2312" w:eastAsia="仿宋_GB2312"/>
                      <w:sz w:val="21"/>
                    </w:rPr>
                    <w:t>≥</w:t>
                  </w:r>
                  <w:r>
                    <w:rPr>
                      <w:rFonts w:ascii="仿宋_GB2312" w:hAnsi="仿宋_GB2312" w:cs="仿宋_GB2312" w:eastAsia="仿宋_GB2312"/>
                      <w:sz w:val="21"/>
                    </w:rPr>
                    <w:t>98.6%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二氧化碳传感器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0-5000ppm，精度±（40ppm＋3％F-S）（25℃) , 分辨率 1ppm，响应时间</w:t>
                  </w:r>
                  <w:r>
                    <w:rPr>
                      <w:rFonts w:ascii="仿宋_GB2312" w:hAnsi="仿宋_GB2312" w:cs="仿宋_GB2312" w:eastAsia="仿宋_GB2312"/>
                      <w:sz w:val="21"/>
                    </w:rPr>
                    <w:t>≤</w:t>
                  </w:r>
                  <w:r>
                    <w:rPr>
                      <w:rFonts w:ascii="仿宋_GB2312" w:hAnsi="仿宋_GB2312" w:cs="仿宋_GB2312" w:eastAsia="仿宋_GB2312"/>
                      <w:sz w:val="21"/>
                    </w:rPr>
                    <w:t>2S。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4</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甲烷传感器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0～100％LEL，分辨率 1％LEL，精度±5％FS，预热时间≥5 分钟。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5</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氧气浓度传感器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0～25％Vol，分辨率 0.1％Vol，精度±3％FS，预热时间≥5分钟。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6</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温度量程</w:t>
                  </w:r>
                  <w:r>
                    <w:rPr>
                      <w:rFonts w:ascii="仿宋_GB2312" w:hAnsi="仿宋_GB2312" w:cs="仿宋_GB2312" w:eastAsia="仿宋_GB2312"/>
                      <w:sz w:val="21"/>
                    </w:rPr>
                    <w:t>-40℃~+120℃ , 精度±0.5℃（25℃) ；</w:t>
                  </w:r>
                </w:p>
                <w:p>
                  <w:pPr>
                    <w:pStyle w:val="null3"/>
                    <w:jc w:val="left"/>
                  </w:pPr>
                  <w:r>
                    <w:rPr>
                      <w:rFonts w:ascii="仿宋_GB2312" w:hAnsi="仿宋_GB2312" w:cs="仿宋_GB2312" w:eastAsia="仿宋_GB2312"/>
                      <w:sz w:val="21"/>
                    </w:rPr>
                    <w:t>湿度量程</w:t>
                  </w:r>
                  <w:r>
                    <w:rPr>
                      <w:rFonts w:ascii="仿宋_GB2312" w:hAnsi="仿宋_GB2312" w:cs="仿宋_GB2312" w:eastAsia="仿宋_GB2312"/>
                      <w:sz w:val="21"/>
                    </w:rPr>
                    <w:t>0% RH～99％RH，精度±3％RH（60％RH25℃) 。</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7</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风速</w:t>
                  </w:r>
                  <w:r>
                    <w:rPr>
                      <w:rFonts w:ascii="仿宋_GB2312" w:hAnsi="仿宋_GB2312" w:cs="仿宋_GB2312" w:eastAsia="仿宋_GB2312"/>
                      <w:sz w:val="21"/>
                    </w:rPr>
                    <w:t>/风向</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风速量程</w:t>
                  </w:r>
                  <w:r>
                    <w:rPr>
                      <w:rFonts w:ascii="仿宋_GB2312" w:hAnsi="仿宋_GB2312" w:cs="仿宋_GB2312" w:eastAsia="仿宋_GB2312"/>
                      <w:sz w:val="21"/>
                    </w:rPr>
                    <w:t>0-70m／s，分辨率0.1m／s，精度±（0.2＋0.03V）m／s，动态响应时间≤1s；</w:t>
                  </w:r>
                  <w:r>
                    <w:br/>
                  </w:r>
                  <w:r>
                    <w:rPr>
                      <w:rFonts w:ascii="仿宋_GB2312" w:hAnsi="仿宋_GB2312" w:cs="仿宋_GB2312" w:eastAsia="仿宋_GB2312"/>
                      <w:sz w:val="21"/>
                    </w:rPr>
                    <w:t>风向量程</w:t>
                  </w:r>
                  <w:r>
                    <w:rPr>
                      <w:rFonts w:ascii="仿宋_GB2312" w:hAnsi="仿宋_GB2312" w:cs="仿宋_GB2312" w:eastAsia="仿宋_GB2312"/>
                      <w:sz w:val="21"/>
                    </w:rPr>
                    <w:t>0～360 °；分辨率1 °；准确度±3 ° 起动风速≤0.5m／s。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8</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雨量计</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0.01mm～4mm/min(允许通过最大雨强8mm/min)；分辨率0.5mm；准确度±2％。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大气压力传感器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0-120Kpa，精度±0.15Kpa＠25℃ 75Kpa，分辨率 0.1Kpa，长期稳定性-0.1Kpa／y，响应时间≤1s。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压差传感器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±100Pa，精度±1.0%FS，工作温度-10℃-60℃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太阳总辐射传感器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RS4850-2000W/m2,模拟量0-1800W/m2，分辨率：1W/m2，工作温度：-25℃-60℃。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 xml:space="preserve"> </w:t>
                  </w:r>
                  <w:r>
                    <w:rPr>
                      <w:rFonts w:ascii="仿宋_GB2312" w:hAnsi="仿宋_GB2312" w:cs="仿宋_GB2312" w:eastAsia="仿宋_GB2312"/>
                      <w:sz w:val="21"/>
                    </w:rPr>
                    <w:t>土壤热通量仪</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-200-200W/m2，测量精度＜5%。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PM2.5/10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0-1000ug／m3，精度±10％（25℃) ，分辨率lug／m3，长期稳定性≤1％ ／y，响应时间≤90S。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14</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光合有效辐射传感器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0-2500μmol／㎡-s</w:t>
                  </w:r>
                  <w:r>
                    <w:rPr>
                      <w:rFonts w:ascii="仿宋_GB2312" w:hAnsi="仿宋_GB2312" w:cs="仿宋_GB2312" w:eastAsia="仿宋_GB2312"/>
                      <w:sz w:val="21"/>
                    </w:rPr>
                    <w:t>，</w:t>
                  </w:r>
                  <w:r>
                    <w:rPr>
                      <w:rFonts w:ascii="仿宋_GB2312" w:hAnsi="仿宋_GB2312" w:cs="仿宋_GB2312" w:eastAsia="仿宋_GB2312"/>
                      <w:sz w:val="21"/>
                    </w:rPr>
                    <w:t>响应光谱</w:t>
                  </w:r>
                  <w:r>
                    <w:rPr>
                      <w:rFonts w:ascii="仿宋_GB2312" w:hAnsi="仿宋_GB2312" w:cs="仿宋_GB2312" w:eastAsia="仿宋_GB2312"/>
                      <w:sz w:val="21"/>
                    </w:rPr>
                    <w:t>400nm～700mm，分辨率1μmol／㎡-s 精确度±2％。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15</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土壤温湿度</w:t>
                  </w:r>
                  <w:r>
                    <w:rPr>
                      <w:rFonts w:ascii="仿宋_GB2312" w:hAnsi="仿宋_GB2312" w:cs="仿宋_GB2312" w:eastAsia="仿宋_GB2312"/>
                      <w:sz w:val="21"/>
                    </w:rPr>
                    <w:t>/电导率传感器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温度量程</w:t>
                  </w:r>
                  <w:r>
                    <w:rPr>
                      <w:rFonts w:ascii="仿宋_GB2312" w:hAnsi="仿宋_GB2312" w:cs="仿宋_GB2312" w:eastAsia="仿宋_GB2312"/>
                      <w:sz w:val="21"/>
                    </w:rPr>
                    <w:t xml:space="preserve">-40～80℃ , 分辨率0.1℃ , 精度±0.5℃（25℃)； </w:t>
                  </w:r>
                  <w:r>
                    <w:br/>
                  </w:r>
                  <w:r>
                    <w:rPr>
                      <w:rFonts w:ascii="仿宋_GB2312" w:hAnsi="仿宋_GB2312" w:cs="仿宋_GB2312" w:eastAsia="仿宋_GB2312"/>
                      <w:sz w:val="21"/>
                    </w:rPr>
                    <w:t>湿度量程</w:t>
                  </w:r>
                  <w:r>
                    <w:rPr>
                      <w:rFonts w:ascii="仿宋_GB2312" w:hAnsi="仿宋_GB2312" w:cs="仿宋_GB2312" w:eastAsia="仿宋_GB2312"/>
                      <w:sz w:val="21"/>
                    </w:rPr>
                    <w:t>0-100％，分辨率0.1％，精度0-50％内±2％，50-100% 内±3％（棕壤，60%.25℃)。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16</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PH传感器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3-9PH，分辨率0.1，精度±0.3PH，工作温度-20℃~60℃ , 响应时间≤10S。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17</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太阳能组件</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太阳能板</w:t>
                  </w:r>
                  <w:r>
                    <w:rPr>
                      <w:rFonts w:ascii="仿宋_GB2312" w:hAnsi="仿宋_GB2312" w:cs="仿宋_GB2312" w:eastAsia="仿宋_GB2312"/>
                      <w:sz w:val="21"/>
                    </w:rPr>
                    <w:t>≥</w:t>
                  </w:r>
                  <w:r>
                    <w:rPr>
                      <w:rFonts w:ascii="仿宋_GB2312" w:hAnsi="仿宋_GB2312" w:cs="仿宋_GB2312" w:eastAsia="仿宋_GB2312"/>
                      <w:sz w:val="21"/>
                    </w:rPr>
                    <w:t>1000W，含逆变</w:t>
                  </w:r>
                  <w:r>
                    <w:rPr>
                      <w:rFonts w:ascii="仿宋_GB2312" w:hAnsi="仿宋_GB2312" w:cs="仿宋_GB2312" w:eastAsia="仿宋_GB2312"/>
                      <w:sz w:val="21"/>
                    </w:rPr>
                    <w:t>≥</w:t>
                  </w:r>
                  <w:r>
                    <w:rPr>
                      <w:rFonts w:ascii="仿宋_GB2312" w:hAnsi="仿宋_GB2312" w:cs="仿宋_GB2312" w:eastAsia="仿宋_GB2312"/>
                      <w:sz w:val="21"/>
                    </w:rPr>
                    <w:t>100Ah一体化蓄电池，相应安装套件等。</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18</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树木生长智能监测仪</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使用环境温度：</w:t>
                  </w:r>
                  <w:r>
                    <w:rPr>
                      <w:rFonts w:ascii="仿宋_GB2312" w:hAnsi="仿宋_GB2312" w:cs="仿宋_GB2312" w:eastAsia="仿宋_GB2312"/>
                      <w:sz w:val="21"/>
                    </w:rPr>
                    <w:t>-30～60℃ , 湿度 0～95%；</w:t>
                  </w:r>
                  <w:r>
                    <w:br/>
                  </w:r>
                  <w:r>
                    <w:rPr>
                      <w:rFonts w:ascii="仿宋_GB2312" w:hAnsi="仿宋_GB2312" w:cs="仿宋_GB2312" w:eastAsia="仿宋_GB2312"/>
                      <w:sz w:val="21"/>
                    </w:rPr>
                    <w:t>测量范围：</w:t>
                  </w:r>
                  <w:r>
                    <w:rPr>
                      <w:rFonts w:ascii="仿宋_GB2312" w:hAnsi="仿宋_GB2312" w:cs="仿宋_GB2312" w:eastAsia="仿宋_GB2312"/>
                      <w:sz w:val="21"/>
                    </w:rPr>
                    <w:t xml:space="preserve">50mm～1000mm； </w:t>
                  </w:r>
                  <w:r>
                    <w:br/>
                  </w:r>
                  <w:r>
                    <w:rPr>
                      <w:rFonts w:ascii="仿宋_GB2312" w:hAnsi="仿宋_GB2312" w:cs="仿宋_GB2312" w:eastAsia="仿宋_GB2312"/>
                      <w:sz w:val="21"/>
                    </w:rPr>
                    <w:t>测量精度：位移示值绝对误差限</w:t>
                  </w:r>
                  <w:r>
                    <w:rPr>
                      <w:rFonts w:ascii="仿宋_GB2312" w:hAnsi="仿宋_GB2312" w:cs="仿宋_GB2312" w:eastAsia="仿宋_GB2312"/>
                      <w:sz w:val="21"/>
                    </w:rPr>
                    <w:t>0.1mm；位移示值相对误差限0.1%；</w:t>
                  </w:r>
                  <w:r>
                    <w:br/>
                  </w:r>
                  <w:r>
                    <w:rPr>
                      <w:rFonts w:ascii="仿宋_GB2312" w:hAnsi="仿宋_GB2312" w:cs="仿宋_GB2312" w:eastAsia="仿宋_GB2312"/>
                      <w:sz w:val="21"/>
                    </w:rPr>
                    <w:t>采样间隔：一周一次；</w:t>
                  </w:r>
                  <w:r>
                    <w:br/>
                  </w:r>
                  <w:r>
                    <w:rPr>
                      <w:rFonts w:ascii="仿宋_GB2312" w:hAnsi="仿宋_GB2312" w:cs="仿宋_GB2312" w:eastAsia="仿宋_GB2312"/>
                      <w:sz w:val="21"/>
                    </w:rPr>
                    <w:t>传输距离：</w:t>
                  </w:r>
                  <w:r>
                    <w:rPr>
                      <w:rFonts w:ascii="仿宋_GB2312" w:hAnsi="仿宋_GB2312" w:cs="仿宋_GB2312" w:eastAsia="仿宋_GB2312"/>
                      <w:sz w:val="21"/>
                    </w:rPr>
                    <w:t>≥</w:t>
                  </w:r>
                  <w:r>
                    <w:rPr>
                      <w:rFonts w:ascii="仿宋_GB2312" w:hAnsi="仿宋_GB2312" w:cs="仿宋_GB2312" w:eastAsia="仿宋_GB2312"/>
                      <w:sz w:val="21"/>
                    </w:rPr>
                    <w:t>5KM；</w:t>
                  </w:r>
                  <w:r>
                    <w:br/>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 xml:space="preserve">IP65； </w:t>
                  </w:r>
                  <w:r>
                    <w:br/>
                  </w:r>
                  <w:r>
                    <w:rPr>
                      <w:rFonts w:ascii="仿宋_GB2312" w:hAnsi="仿宋_GB2312" w:cs="仿宋_GB2312" w:eastAsia="仿宋_GB2312"/>
                      <w:sz w:val="21"/>
                    </w:rPr>
                    <w:t>通讯频率：</w:t>
                  </w:r>
                  <w:r>
                    <w:rPr>
                      <w:rFonts w:ascii="仿宋_GB2312" w:hAnsi="仿宋_GB2312" w:cs="仿宋_GB2312" w:eastAsia="仿宋_GB2312"/>
                      <w:sz w:val="21"/>
                    </w:rPr>
                    <w:t>433MHz；</w:t>
                  </w:r>
                  <w:r>
                    <w:br/>
                  </w:r>
                  <w:r>
                    <w:rPr>
                      <w:rFonts w:ascii="仿宋_GB2312" w:hAnsi="仿宋_GB2312" w:cs="仿宋_GB2312" w:eastAsia="仿宋_GB2312"/>
                      <w:sz w:val="21"/>
                    </w:rPr>
                    <w:t>供电电压：</w:t>
                  </w:r>
                  <w:r>
                    <w:rPr>
                      <w:rFonts w:ascii="仿宋_GB2312" w:hAnsi="仿宋_GB2312" w:cs="仿宋_GB2312" w:eastAsia="仿宋_GB2312"/>
                      <w:sz w:val="21"/>
                    </w:rPr>
                    <w:t>3.6V-4.2V(锂电池)。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19</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设备安防预警</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 万像素180度广角预警摄像机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20</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立杆</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3米杆x1，2米杆x1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监测样地标识牌</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0.9×0.6m 热镀锌钢架，铝合金面板，5年膜反光印刷。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样地界桩</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材质：壁厚</w:t>
                  </w:r>
                  <w:r>
                    <w:rPr>
                      <w:rFonts w:ascii="仿宋_GB2312" w:hAnsi="仿宋_GB2312" w:cs="仿宋_GB2312" w:eastAsia="仿宋_GB2312"/>
                      <w:sz w:val="21"/>
                    </w:rPr>
                    <w:t>≥</w:t>
                  </w:r>
                  <w:r>
                    <w:rPr>
                      <w:rFonts w:ascii="仿宋_GB2312" w:hAnsi="仿宋_GB2312" w:cs="仿宋_GB2312" w:eastAsia="仿宋_GB2312"/>
                      <w:sz w:val="21"/>
                    </w:rPr>
                    <w:t>5mm，无碱玻璃钢材质，尺寸：100*100*1000mm。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智能监测样地围栏</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4＊4m围栏1组（材料+基础+安装）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32m</w:t>
                  </w:r>
                </w:p>
              </w:tc>
            </w:tr>
          </w:tbl>
          <w:p>
            <w:pPr>
              <w:pStyle w:val="null3"/>
              <w:ind w:firstLine="560"/>
              <w:jc w:val="both"/>
            </w:pPr>
            <w:r>
              <w:rPr>
                <w:rFonts w:ascii="仿宋_GB2312" w:hAnsi="仿宋_GB2312" w:cs="仿宋_GB2312" w:eastAsia="仿宋_GB2312"/>
              </w:rPr>
              <w:t>E.碳通量监测系统构架</w:t>
            </w:r>
          </w:p>
          <w:p>
            <w:pPr>
              <w:pStyle w:val="null3"/>
            </w:pPr>
            <w:r>
              <w:rPr>
                <w:rFonts w:ascii="仿宋_GB2312" w:hAnsi="仿宋_GB2312" w:cs="仿宋_GB2312" w:eastAsia="仿宋_GB2312"/>
              </w:rPr>
              <w:t>整个系统由数据采集系统、终端系统、云平台应用软件系统组成。数据采集系统包括树木生长监测环、气象自动监测仪、自动土壤监测仪等，可以将树木胸径、气象监测、空气监测、土壤监测以及环境监测要素传感器通过无线通讯方式直接传输至“绿色碳库”计量监测中心，实现对树木生长、气象、空气、土壤、环境等相关要素的实时监测；系统终端系统由计算机、网络设备组成，可以查询和显示监测地相关监测信息；云平台应用软件系统可以实现信息的采集入库、信息统计分析、系统的管理、预警和对策的发布。</w:t>
            </w:r>
          </w:p>
          <w:p>
            <w:pPr>
              <w:pStyle w:val="null3"/>
            </w:pPr>
            <w:r>
              <w:rPr>
                <w:rFonts w:ascii="仿宋_GB2312" w:hAnsi="仿宋_GB2312" w:cs="仿宋_GB2312" w:eastAsia="仿宋_GB2312"/>
              </w:rPr>
              <w:t>F. 碳汇数据集成展示</w:t>
            </w:r>
          </w:p>
          <w:p>
            <w:pPr>
              <w:pStyle w:val="null3"/>
            </w:pPr>
            <w:r>
              <w:rPr>
                <w:rFonts w:ascii="仿宋_GB2312" w:hAnsi="仿宋_GB2312" w:cs="仿宋_GB2312" w:eastAsia="仿宋_GB2312"/>
              </w:rPr>
              <w:t>数据采集完成后，通过客户端用户可登录实时查看相关碳汇数据运行情况。</w:t>
            </w:r>
          </w:p>
          <w:p>
            <w:pPr>
              <w:pStyle w:val="null3"/>
            </w:pPr>
            <w:r>
              <w:rPr>
                <w:rFonts w:ascii="仿宋_GB2312" w:hAnsi="仿宋_GB2312" w:cs="仿宋_GB2312" w:eastAsia="仿宋_GB2312"/>
                <w:sz w:val="21"/>
              </w:rPr>
              <w:t>1.6监测实施条件及检测成果</w:t>
            </w:r>
          </w:p>
          <w:p>
            <w:pPr>
              <w:pStyle w:val="null3"/>
            </w:pPr>
            <w:r>
              <w:rPr>
                <w:rFonts w:ascii="仿宋_GB2312" w:hAnsi="仿宋_GB2312" w:cs="仿宋_GB2312" w:eastAsia="仿宋_GB2312"/>
              </w:rPr>
              <w:t>（1）监测组织</w:t>
            </w:r>
          </w:p>
          <w:p>
            <w:pPr>
              <w:pStyle w:val="null3"/>
            </w:pPr>
            <w:r>
              <w:rPr>
                <w:rFonts w:ascii="仿宋_GB2312" w:hAnsi="仿宋_GB2312" w:cs="仿宋_GB2312" w:eastAsia="仿宋_GB2312"/>
              </w:rPr>
              <w:t>本项目碳汇计量监测，监测期限为5年，监测次数为6次，首年为基线调查，此后每年9月进行样地复测1次。</w:t>
            </w:r>
          </w:p>
          <w:p>
            <w:pPr>
              <w:pStyle w:val="null3"/>
            </w:pPr>
            <w:r>
              <w:rPr>
                <w:rFonts w:ascii="仿宋_GB2312" w:hAnsi="仿宋_GB2312" w:cs="仿宋_GB2312" w:eastAsia="仿宋_GB2312"/>
              </w:rPr>
              <w:t>（2）监测仪器设备</w:t>
            </w:r>
          </w:p>
          <w:p>
            <w:pPr>
              <w:pStyle w:val="null3"/>
            </w:pPr>
            <w:r>
              <w:rPr>
                <w:rFonts w:ascii="仿宋_GB2312" w:hAnsi="仿宋_GB2312" w:cs="仿宋_GB2312" w:eastAsia="仿宋_GB2312"/>
              </w:rPr>
              <w:t>监测仪器为智能化示范样地监测仪器。设备的保管和维护由中标单位负责保管和维护，监测期满后，移交建设单位。</w:t>
            </w:r>
          </w:p>
          <w:p>
            <w:pPr>
              <w:pStyle w:val="null3"/>
            </w:pPr>
            <w:r>
              <w:rPr>
                <w:rFonts w:ascii="仿宋_GB2312" w:hAnsi="仿宋_GB2312" w:cs="仿宋_GB2312" w:eastAsia="仿宋_GB2312"/>
              </w:rPr>
              <w:t>（3）监测成果</w:t>
            </w:r>
          </w:p>
          <w:p>
            <w:pPr>
              <w:pStyle w:val="null3"/>
            </w:pPr>
            <w:r>
              <w:rPr>
                <w:rFonts w:ascii="仿宋_GB2312" w:hAnsi="仿宋_GB2312" w:cs="仿宋_GB2312" w:eastAsia="仿宋_GB2312"/>
              </w:rPr>
              <w:t>碳汇计量监测成果包括：</w:t>
            </w:r>
          </w:p>
          <w:p>
            <w:pPr>
              <w:pStyle w:val="null3"/>
            </w:pPr>
            <w:r>
              <w:rPr>
                <w:rFonts w:ascii="仿宋_GB2312" w:hAnsi="仿宋_GB2312" w:cs="仿宋_GB2312" w:eastAsia="仿宋_GB2312"/>
              </w:rPr>
              <w:t>1）碳汇计量监测实施方案</w:t>
            </w:r>
          </w:p>
          <w:p>
            <w:pPr>
              <w:pStyle w:val="null3"/>
            </w:pPr>
            <w:r>
              <w:rPr>
                <w:rFonts w:ascii="仿宋_GB2312" w:hAnsi="仿宋_GB2312" w:cs="仿宋_GB2312" w:eastAsia="仿宋_GB2312"/>
              </w:rPr>
              <w:t>在碳汇计量监测工作开展前，首先编制监测实施方案，作为监测工作的行动指南。</w:t>
            </w:r>
          </w:p>
          <w:p>
            <w:pPr>
              <w:pStyle w:val="null3"/>
            </w:pPr>
            <w:r>
              <w:rPr>
                <w:rFonts w:ascii="仿宋_GB2312" w:hAnsi="仿宋_GB2312" w:cs="仿宋_GB2312" w:eastAsia="仿宋_GB2312"/>
              </w:rPr>
              <w:t>2）监测过程资料及成果</w:t>
            </w:r>
          </w:p>
          <w:p>
            <w:pPr>
              <w:pStyle w:val="null3"/>
            </w:pPr>
            <w:r>
              <w:rPr>
                <w:rFonts w:ascii="仿宋_GB2312" w:hAnsi="仿宋_GB2312" w:cs="仿宋_GB2312" w:eastAsia="仿宋_GB2312"/>
              </w:rPr>
              <w:t>包括碳汇专项调查样地、样方调查原始卡片、调查过程影像资料、成果数据库和林业碳汇统计数据库；碳汇计量监测成果和工作总结报告等。</w:t>
            </w:r>
          </w:p>
          <w:p>
            <w:pPr>
              <w:pStyle w:val="null3"/>
            </w:pPr>
            <w:r>
              <w:rPr>
                <w:rFonts w:ascii="仿宋_GB2312" w:hAnsi="仿宋_GB2312" w:cs="仿宋_GB2312" w:eastAsia="仿宋_GB2312"/>
                <w:sz w:val="18"/>
              </w:rPr>
              <w:t>1.7标识牌</w:t>
            </w:r>
          </w:p>
          <w:p>
            <w:pPr>
              <w:pStyle w:val="null3"/>
            </w:pPr>
            <w:r>
              <w:rPr>
                <w:rFonts w:ascii="仿宋_GB2312" w:hAnsi="仿宋_GB2312" w:cs="仿宋_GB2312" w:eastAsia="仿宋_GB2312"/>
              </w:rPr>
              <w:t>在固定样地和对照样地周边，选择交通便利、便于展示的空旷地带设置样地宣传标识牌，每组样地设置1块。标识牌规格为900×600mm热镀锌钢架+5年膜反光印刷。标识牌上应标明固定样地GPS坐标、监测单位、监测责任人、监测周期、时间及制度等内容。</w:t>
            </w:r>
          </w:p>
          <w:p>
            <w:pPr>
              <w:pStyle w:val="null3"/>
            </w:pPr>
            <w:r>
              <w:rPr>
                <w:rFonts w:ascii="仿宋_GB2312" w:hAnsi="仿宋_GB2312" w:cs="仿宋_GB2312" w:eastAsia="仿宋_GB2312"/>
                <w:sz w:val="24"/>
                <w:b/>
              </w:rPr>
              <w:t>标识牌样式</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汉中市西乡县</w:t>
                  </w:r>
                  <w:r>
                    <w:rPr>
                      <w:rFonts w:ascii="仿宋_GB2312" w:hAnsi="仿宋_GB2312" w:cs="仿宋_GB2312" w:eastAsia="仿宋_GB2312"/>
                      <w:sz w:val="21"/>
                    </w:rPr>
                    <w:t>2025年度省级林业草原改革发展资金“百万亩绿色碳库”示范基地项目</w:t>
                  </w:r>
                </w:p>
                <w:p>
                  <w:pPr>
                    <w:pStyle w:val="null3"/>
                    <w:ind w:firstLine="480"/>
                    <w:jc w:val="both"/>
                  </w:pPr>
                  <w:r>
                    <w:rPr>
                      <w:rFonts w:ascii="仿宋_GB2312" w:hAnsi="仿宋_GB2312" w:cs="仿宋_GB2312" w:eastAsia="仿宋_GB2312"/>
                      <w:sz w:val="21"/>
                    </w:rPr>
                    <w:t>建设地点：骆家坝镇张家坝村作业区</w:t>
                  </w:r>
                </w:p>
                <w:p>
                  <w:pPr>
                    <w:pStyle w:val="null3"/>
                    <w:ind w:firstLine="480"/>
                    <w:jc w:val="both"/>
                  </w:pPr>
                  <w:r>
                    <w:rPr>
                      <w:rFonts w:ascii="仿宋_GB2312" w:hAnsi="仿宋_GB2312" w:cs="仿宋_GB2312" w:eastAsia="仿宋_GB2312"/>
                      <w:sz w:val="21"/>
                    </w:rPr>
                    <w:t>样地编号：</w:t>
                  </w:r>
                  <w:r>
                    <w:rPr>
                      <w:rFonts w:ascii="仿宋_GB2312" w:hAnsi="仿宋_GB2312" w:cs="仿宋_GB2312" w:eastAsia="仿宋_GB2312"/>
                      <w:sz w:val="21"/>
                    </w:rPr>
                    <w:t xml:space="preserve">X-1-1  </w:t>
                  </w:r>
                </w:p>
                <w:p>
                  <w:pPr>
                    <w:pStyle w:val="null3"/>
                    <w:ind w:firstLine="480"/>
                    <w:jc w:val="both"/>
                  </w:pPr>
                  <w:r>
                    <w:rPr>
                      <w:rFonts w:ascii="仿宋_GB2312" w:hAnsi="仿宋_GB2312" w:cs="仿宋_GB2312" w:eastAsia="仿宋_GB2312"/>
                      <w:sz w:val="21"/>
                    </w:rPr>
                    <w:t>GPS坐标：107°26'0.445"E   32°51'41.097"N</w:t>
                  </w:r>
                </w:p>
                <w:p>
                  <w:pPr>
                    <w:pStyle w:val="null3"/>
                    <w:ind w:firstLine="480"/>
                    <w:jc w:val="both"/>
                  </w:pPr>
                  <w:r>
                    <w:rPr>
                      <w:rFonts w:ascii="仿宋_GB2312" w:hAnsi="仿宋_GB2312" w:cs="仿宋_GB2312" w:eastAsia="仿宋_GB2312"/>
                      <w:sz w:val="21"/>
                    </w:rPr>
                    <w:t>样地类型：固定样地（智能化监测样地）</w:t>
                  </w:r>
                </w:p>
                <w:p>
                  <w:pPr>
                    <w:pStyle w:val="null3"/>
                    <w:ind w:firstLine="480"/>
                    <w:jc w:val="both"/>
                  </w:pPr>
                  <w:r>
                    <w:rPr>
                      <w:rFonts w:ascii="仿宋_GB2312" w:hAnsi="仿宋_GB2312" w:cs="仿宋_GB2312" w:eastAsia="仿宋_GB2312"/>
                      <w:sz w:val="21"/>
                    </w:rPr>
                    <w:t>监测单位：</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监测负责人：</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监测周期：</w:t>
                  </w:r>
                  <w:r>
                    <w:rPr>
                      <w:rFonts w:ascii="仿宋_GB2312" w:hAnsi="仿宋_GB2312" w:cs="仿宋_GB2312" w:eastAsia="仿宋_GB2312"/>
                      <w:sz w:val="21"/>
                    </w:rPr>
                    <w:t>5年</w:t>
                  </w:r>
                </w:p>
                <w:p>
                  <w:pPr>
                    <w:pStyle w:val="null3"/>
                    <w:ind w:firstLine="1039"/>
                    <w:jc w:val="right"/>
                  </w:pPr>
                  <w:r>
                    <w:rPr>
                      <w:rFonts w:ascii="仿宋_GB2312" w:hAnsi="仿宋_GB2312" w:cs="仿宋_GB2312" w:eastAsia="仿宋_GB2312"/>
                      <w:sz w:val="21"/>
                    </w:rPr>
                    <w:t xml:space="preserve">                          </w:t>
                  </w:r>
                  <w:r>
                    <w:rPr>
                      <w:rFonts w:ascii="仿宋_GB2312" w:hAnsi="仿宋_GB2312" w:cs="仿宋_GB2312" w:eastAsia="仿宋_GB2312"/>
                      <w:sz w:val="21"/>
                    </w:rPr>
                    <w:t>××年××月</w:t>
                  </w:r>
                </w:p>
              </w:tc>
            </w:tr>
          </w:tbl>
          <w:p>
            <w:pPr>
              <w:pStyle w:val="null3"/>
              <w:jc w:val="center"/>
            </w:pPr>
            <w:r>
              <w:rPr>
                <w:rFonts w:ascii="仿宋_GB2312" w:hAnsi="仿宋_GB2312" w:cs="仿宋_GB2312" w:eastAsia="仿宋_GB2312"/>
              </w:rPr>
              <w:t xml:space="preserve"> </w:t>
            </w:r>
          </w:p>
          <w:p>
            <w:pPr>
              <w:pStyle w:val="null3"/>
              <w:ind w:left="3120"/>
              <w:jc w:val="both"/>
            </w:pPr>
            <w:r>
              <w:rPr>
                <w:rFonts w:ascii="仿宋_GB2312" w:hAnsi="仿宋_GB2312" w:cs="仿宋_GB2312" w:eastAsia="仿宋_GB2312"/>
                <w:sz w:val="24"/>
                <w:b/>
              </w:rPr>
              <w:t>样地标识牌布置表</w:t>
            </w:r>
          </w:p>
          <w:tbl>
            <w:tblPr>
              <w:tblBorders>
                <w:top w:val="none" w:color="000000" w:sz="4"/>
                <w:left w:val="none" w:color="000000" w:sz="4"/>
                <w:bottom w:val="none" w:color="000000" w:sz="4"/>
                <w:right w:val="none" w:color="000000" w:sz="4"/>
                <w:insideH w:val="none"/>
                <w:insideV w:val="none"/>
              </w:tblBorders>
            </w:tblPr>
            <w:tblGrid>
              <w:gridCol w:w="361"/>
              <w:gridCol w:w="1055"/>
              <w:gridCol w:w="565"/>
              <w:gridCol w:w="565"/>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智能化监测样地标识牌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107°26'0.445" 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32°51'41.097"N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智能化监测对照样地标识牌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107°26'18.290"E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32°51'53.383"N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1标识牌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107°25'48.128"E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32°51'34.934"N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1标识牌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107°25'48.805"E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32°51'35.066"N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2标识牌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107°24'43.338"E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32°51'31.885"N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2标识牌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107°24'42.679"E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32°51'31.615"N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3标识牌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107°25'51.539"E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32°51'13.994"N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3标识牌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107°25'49.834"E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32°51'15.207"N</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供应商按需自行配置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供应商按需自行配置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供应商按需自行配置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2025年11月—2026年12月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2025年11月—2026年12月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2025年11月—2026年12月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2025年11月—2026年12月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2025年11月—2030年12月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西乡县骆家坝镇张家坝村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西乡县骆家坝镇张家坝村</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西乡县骆家坝镇张家坝村</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西乡县骆家坝镇张家坝村</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西乡县骆家坝镇张家坝村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协商解决或提起诉讼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协商解决或提起诉讼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协商解决或提起诉讼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协商解决或提起诉讼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投标文件按照招标文件要求的格式编写，内容齐全无遗漏。</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完全响应招标文件，无采购人不能接受的附加条件。</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未超过最高限价或采购预算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2025年11月—2026年12月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投标文件按照招标文件要求的格式编写，内容齐全无遗漏。</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完全响应招标文件，无采购人不能接受的附加条件。</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未超过最高限价或采购预算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2025年11月—2026年12月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投标文件按照招标文件要求的格式编写，内容齐全无遗漏。</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完全响应招标文件，无采购人不能接受的附加条件。</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未超过最高限价或采购预算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2025年11月—2026年12月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投标文件按照招标文件要求的格式编写，内容齐全无遗漏。</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完全响应招标文件，无采购人不能接受的附加条件。</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未超过最高限价或采购预算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2025年11月—2026年12月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投标文件按照招标文件要求的格式编写，内容齐全无遗漏。</w:t>
            </w:r>
          </w:p>
        </w:tc>
        <w:tc>
          <w:tcPr>
            <w:tcW w:type="dxa" w:w="1661"/>
          </w:tcPr>
          <w:p>
            <w:pPr>
              <w:pStyle w:val="null3"/>
            </w:pPr>
            <w:r>
              <w:rPr>
                <w:rFonts w:ascii="仿宋_GB2312" w:hAnsi="仿宋_GB2312" w:cs="仿宋_GB2312" w:eastAsia="仿宋_GB2312"/>
              </w:rPr>
              <w:t>开标一览表 类似项目业绩一览表.docx 监测仪器设备一览表.docx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完全响应招标文件，无采购人不能接受的附加条件。</w:t>
            </w:r>
          </w:p>
        </w:tc>
        <w:tc>
          <w:tcPr>
            <w:tcW w:type="dxa" w:w="1661"/>
          </w:tcPr>
          <w:p>
            <w:pPr>
              <w:pStyle w:val="null3"/>
            </w:pPr>
            <w:r>
              <w:rPr>
                <w:rFonts w:ascii="仿宋_GB2312" w:hAnsi="仿宋_GB2312" w:cs="仿宋_GB2312" w:eastAsia="仿宋_GB2312"/>
              </w:rPr>
              <w:t>开标一览表 类似项目业绩一览表.docx 监测仪器设备一览表.docx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监测仪器设备一览表.docx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未超过最高限价或采购预算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 xml:space="preserve"> 2025年11月—2030年12月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提供投标人近三年（2022年1月-至今）的类似项目业绩，每一份业绩得2.5分，最多得5分。以合同或中标通知书为准，同时须在投标文件中附提供的合同或中标通知书的扫描件。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拟派项目负责人具有林业专业初级职称的计1分，中级职称的计2分，高级职称的计3分；拟派项目负责人具有类似项目实施经验的，每提供1份证明材料的计1分，最高计2分。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拟派项目负责人资历表.docx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人员及设备配置.docx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能全面理解本项目实施的意义，服务方案描述详细，科学合理，切实可行，计10～15分；服务方案一般，基本满足项目需求的计5～10分；服务方案较差，无法保证项目需求的计0～5分。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针对本项目制定完整合理的质量保证措施，措施能够有效保证森林抚育的质量：质量保证措施完善，合理可行计7～10分；质量保证措施基本合理可行计4～7分，质量保证措施欠缺、无法保证抚育质量计0～4分。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生产和森林防火措施，确保不发生安全生产事故和森林火灾；保证措施完善合理，切实可行，计7～10分；保证措施一般，能基本保证安全的计4～7分；保证措施欠缺，容易发生安全事故或森林火灾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生物多样性保护及环境保护措施</w:t>
            </w:r>
          </w:p>
        </w:tc>
        <w:tc>
          <w:tcPr>
            <w:tcW w:type="dxa" w:w="2492"/>
          </w:tcPr>
          <w:p>
            <w:pPr>
              <w:pStyle w:val="null3"/>
            </w:pPr>
            <w:r>
              <w:rPr>
                <w:rFonts w:ascii="仿宋_GB2312" w:hAnsi="仿宋_GB2312" w:cs="仿宋_GB2312" w:eastAsia="仿宋_GB2312"/>
              </w:rPr>
              <w:t>针对本项目制定合理的生物多样性保护及环境保护措施：措施完善，合理可行，对生物多样性及环境能够有效保护，计7～10分；措施基本完善合理可行计4～7分，措施欠缺、容易导致生物多样性被破坏和林区环境污染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价格分采用低价优先法计算，即满足招标文件要求且投标价格最低的投标总报价为评审基准价，其价格分为满分。其他投标人的价格分统一按照下列公式计算： 报价得分=（评审基准价/有效投标总报价）×价格权值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提供投标人近三年（2022年1月-至今）的类似项目业绩，每一份业绩得2.5分，最多得5分。以合同或中标通知书为准，同时须在投标文件中附提供的合同或中标通知书的扫描件。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拟派项目负责人具有林业专业初级职称的计1分，中级职称的计2分，高级职称的计3分；拟派项目负责人具有类似项目实施经验的，每提供1份证明材料的计1分，最高计2分。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拟派项目负责人资历表.docx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人员及设备配置.docx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能全面理解本项目实施的意义，服务方案描述详细，科学合理，切实可行，计10～15分；服务方案一般，基本满足项目需求的计5～10分；服务方案较差，无法保证项目需求的计0～5分。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针对本项目制定完整合理的质量保证措施，措施能够有效保证森林抚育的质量：质量保证措施完善，合理可行计7～10分；质量保证措施基本合理可行计4～7分，质量保证措施欠缺、无法保证抚育质量计0～4分。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生产和森林防火措施，确保不发生安全生产事故和森林火灾；保证措施完善合理，切实可行，计7～10分；保证措施一般，能基本保证安全的计4～7分；保证措施欠缺，容易发生安全事故或森林火灾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生物多样性保护及环境保护措施</w:t>
            </w:r>
          </w:p>
        </w:tc>
        <w:tc>
          <w:tcPr>
            <w:tcW w:type="dxa" w:w="2492"/>
          </w:tcPr>
          <w:p>
            <w:pPr>
              <w:pStyle w:val="null3"/>
            </w:pPr>
            <w:r>
              <w:rPr>
                <w:rFonts w:ascii="仿宋_GB2312" w:hAnsi="仿宋_GB2312" w:cs="仿宋_GB2312" w:eastAsia="仿宋_GB2312"/>
              </w:rPr>
              <w:t>针对本项目制定合理的生物多样性保护及环境保护措施：措施完善，合理可行，对生物多样性及环境能够有效保护，计7～10分；措施基本完善合理可行计4～7分，措施欠缺、容易导致生物多样性被破坏和林区环境污染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价格分采用低价优先法计算，即满足招标文件要求且投标价格最低的投标总报价为评审基准价，其价格分为满分。其他投标人的价格分统一按照下列公式计算： 报价得分=（评审基准价/有效投标总报价）×价格权值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提供投标人近三年（2022年1月-至今）的类似项目业绩，每一份业绩得2.5分，最多得5分。以合同或中标通知书为准，同时须在投标文件中附提供的合同或中标通知书的扫描件。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拟派项目负责人具有林业专业初级职称的计1分，中级职称的计2分，高级职称的计3分；拟派项目负责人具有类似项目实施经验的，每提供1份证明材料的计1分，最高计2分。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拟派项目负责人资历表.docx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人员及设备配置.docx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能全面理解本项目实施的意义，服务方案描述详细，科学合理，切实可行，计10～15分；服务方案一般，基本满足项目需求的计5～10分；服务方案较差，无法保证项目需求的计0～5分。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针对本项目制定完整合理的质量保证措施，措施能够有效保证森林抚育的质量：质量保证措施完善，合理可行计7～10分；质量保证措施基本合理可行计4～7分，质量保证措施欠缺、无法保证抚育质量计0～4分。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生产和森林防火措施，确保不发生安全生产事故和森林火灾；保证措施完善合理，切实可行，计7～10分；保证措施一般，能基本保证安全的计4～7分；保证措施欠缺，容易发生安全事故或森林火灾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生物多样性保护及环境保护措施</w:t>
            </w:r>
          </w:p>
        </w:tc>
        <w:tc>
          <w:tcPr>
            <w:tcW w:type="dxa" w:w="2492"/>
          </w:tcPr>
          <w:p>
            <w:pPr>
              <w:pStyle w:val="null3"/>
            </w:pPr>
            <w:r>
              <w:rPr>
                <w:rFonts w:ascii="仿宋_GB2312" w:hAnsi="仿宋_GB2312" w:cs="仿宋_GB2312" w:eastAsia="仿宋_GB2312"/>
              </w:rPr>
              <w:t>针对本项目制定合理的生物多样性保护及环境保护措施：措施完善，合理可行，对生物多样性及环境能够有效保护，计7～10分；措施基本完善合理可行计4～7分，措施欠缺、容易导致生物多样性被破坏和林区环境污染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价格分采用低价优先法计算，即满足招标文件要求且投标价格最低的投标总报价为评审基准价，其价格分为满分。其他投标人的价格分统一按照下列公式计算： 报价得分=（评审基准价/有效投标总报价）×价格权值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提供投标人近三年（2022年1月-至今）的类似项目业绩，每一份业绩得2.5分，最多得5分。以合同或中标通知书为准，同时须在投标文件中附提供的合同或中标通知书的扫描件。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拟派项目负责人具有林业专业初级职称的计1分，中级职称的计2分，高级职称的计3分；拟派项目负责人具有类似项目实施经验的，每提供1份证明材料的计1分，最高计2分。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拟派项目负责人资历表.docx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人员及设备配置.docx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能全面理解本项目实施的意义，服务方案描述详细，科学合理，切实可行，计10～15分；服务方案一般，基本满足项目需求的计5～10分；服务方案较差，无法保证项目需求的计0～5分。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针对本项目制定完整合理的质量保证措施，措施能够有效保证森林抚育的质量：质量保证措施完善，合理可行计7～10分；质量保证措施基本合理可行计4～7分，质量保证措施欠缺、无法保证抚育质量计0～4分。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生产和森林防火措施，确保不发生安全生产事故和森林火灾；保证措施完善合理，切实可行，计7～10分；保证措施一般，能基本保证安全的计4～7分；保证措施欠缺，容易发生安全事故或森林火灾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生物多样性保护及环境保护措施</w:t>
            </w:r>
          </w:p>
        </w:tc>
        <w:tc>
          <w:tcPr>
            <w:tcW w:type="dxa" w:w="2492"/>
          </w:tcPr>
          <w:p>
            <w:pPr>
              <w:pStyle w:val="null3"/>
            </w:pPr>
            <w:r>
              <w:rPr>
                <w:rFonts w:ascii="仿宋_GB2312" w:hAnsi="仿宋_GB2312" w:cs="仿宋_GB2312" w:eastAsia="仿宋_GB2312"/>
              </w:rPr>
              <w:t>针对本项目制定合理的生物多样性保护及环境保护措施：措施完善，合理可行，对生物多样性及环境能够有效保护，计7～10分；措施基本完善合理可行计4～7分，措施欠缺、容易导致生物多样性被破坏和林区环境污染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价格分采用低价优先法计算，即满足招标文件要求且投标价格最低的投标总报价为评审基准价，其价格分为满分。其他投标人的价格分统一按照下列公式计算： 报价得分=（评审基准价/有效投标总报价）×价格权值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提供投标人近三年（2022年1月-至今）的类似项目业绩，每一份业绩得2.5分，最多得5分。以合同或中标通知书为准，同时须在投标文件中附提供的合同或中标通知书的扫描件。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拟派项目负责人具有林业专业初级职称的计1分，中级职称的计2分，高级职称的计3分；拟派项目负责人具有类似项目实施经验的，每提供1份证明材料的计1分，最高计2分。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拟派项目负责人资历表.docx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人员及设备配置.docx</w:t>
            </w:r>
          </w:p>
        </w:tc>
      </w:tr>
      <w:tr>
        <w:tc>
          <w:tcPr>
            <w:tcW w:type="dxa" w:w="831"/>
            <w:vMerge/>
          </w:tcPr>
          <w:p/>
        </w:tc>
        <w:tc>
          <w:tcPr>
            <w:tcW w:type="dxa" w:w="1661"/>
          </w:tcPr>
          <w:p>
            <w:pPr>
              <w:pStyle w:val="null3"/>
            </w:pPr>
            <w:r>
              <w:rPr>
                <w:rFonts w:ascii="仿宋_GB2312" w:hAnsi="仿宋_GB2312" w:cs="仿宋_GB2312" w:eastAsia="仿宋_GB2312"/>
              </w:rPr>
              <w:t>监测仪器</w:t>
            </w:r>
          </w:p>
        </w:tc>
        <w:tc>
          <w:tcPr>
            <w:tcW w:type="dxa" w:w="2492"/>
          </w:tcPr>
          <w:p>
            <w:pPr>
              <w:pStyle w:val="null3"/>
            </w:pPr>
            <w:r>
              <w:rPr>
                <w:rFonts w:ascii="仿宋_GB2312" w:hAnsi="仿宋_GB2312" w:cs="仿宋_GB2312" w:eastAsia="仿宋_GB2312"/>
              </w:rPr>
              <w:t>提供的监测仪器主要参数指标完全符合招标文件技术要求的计5分；提供的监测仪器主要参数指标明显优于招标文件中主要参数指标，并且有实质性能提升的（评标委员会所有成员一致认为），每项得0.5分，最多得5分。（提供佐证材料，未提供佐证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监测仪器设备一览表.docx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能全面理解本项目实施的意义，服务方案描述详细，科学合理，切实可行，计10～15分；服务方案一般，基本满足项目需求的计5～10分；服务方案较差，无法保证项目需求的计0～5分。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措施能够有效保证碳汇计量监测的质量：质量保证措施完善，合理可行计7～10分；质量保证措施基本合理可行计4～7分，质量保证措施欠缺、无法保证计量监测的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生产和森林防火措施，确保不发生安全生产事故和森林火灾；保证措施完善合理，切实可行，计7～10分；保证措施一般，能基本保证安全的计4～7分；保证措施欠缺，容易发生安全事故或森林火灾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价格分采用低价优先法计算，即满足招标文件要求且投标价格最低的投标总报价为评审基准价，其价格分为满分。其他投标人的价格分统一按照下列公式计算： 报价得分=（评审基准价/有效投标总报价）×价格权值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详见附件：拟派项目负责人资历表.docx</w:t>
      </w:r>
    </w:p>
    <w:p>
      <w:pPr>
        <w:pStyle w:val="null3"/>
        <w:ind w:firstLine="960"/>
      </w:pPr>
      <w:r>
        <w:rPr>
          <w:rFonts w:ascii="仿宋_GB2312" w:hAnsi="仿宋_GB2312" w:cs="仿宋_GB2312" w:eastAsia="仿宋_GB2312"/>
        </w:rPr>
        <w:t>详见附件：人员及设备配置.docx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详见附件：拟派项目负责人资历表.docx</w:t>
      </w:r>
    </w:p>
    <w:p>
      <w:pPr>
        <w:pStyle w:val="null3"/>
        <w:ind w:firstLine="960"/>
      </w:pPr>
      <w:r>
        <w:rPr>
          <w:rFonts w:ascii="仿宋_GB2312" w:hAnsi="仿宋_GB2312" w:cs="仿宋_GB2312" w:eastAsia="仿宋_GB2312"/>
        </w:rPr>
        <w:t>详见附件：人员及设备配置.docx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详见附件：拟派项目负责人资历表.docx</w:t>
      </w:r>
    </w:p>
    <w:p>
      <w:pPr>
        <w:pStyle w:val="null3"/>
        <w:ind w:firstLine="960"/>
      </w:pPr>
      <w:r>
        <w:rPr>
          <w:rFonts w:ascii="仿宋_GB2312" w:hAnsi="仿宋_GB2312" w:cs="仿宋_GB2312" w:eastAsia="仿宋_GB2312"/>
        </w:rPr>
        <w:t>详见附件：人员及设备配置.docx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详见附件：拟派项目负责人资历表.docx</w:t>
      </w:r>
    </w:p>
    <w:p>
      <w:pPr>
        <w:pStyle w:val="null3"/>
        <w:ind w:firstLine="960"/>
      </w:pPr>
      <w:r>
        <w:rPr>
          <w:rFonts w:ascii="仿宋_GB2312" w:hAnsi="仿宋_GB2312" w:cs="仿宋_GB2312" w:eastAsia="仿宋_GB2312"/>
        </w:rPr>
        <w:t>详见附件：人员及设备配置.docx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详见附件：监测仪器设备一览表.docx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详见附件：拟派项目负责人资历表.docx</w:t>
      </w:r>
    </w:p>
    <w:p>
      <w:pPr>
        <w:pStyle w:val="null3"/>
        <w:ind w:firstLine="960"/>
      </w:pPr>
      <w:r>
        <w:rPr>
          <w:rFonts w:ascii="仿宋_GB2312" w:hAnsi="仿宋_GB2312" w:cs="仿宋_GB2312" w:eastAsia="仿宋_GB2312"/>
        </w:rPr>
        <w:t>详见附件：人员及设备配置.docx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