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版本号：JXRZ-HC-2025-12820251009001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西乡县康养服务中心建设项目监理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JXRZ-HC-2025-128</w:t>
      </w:r>
      <w:r>
        <w:br/>
      </w:r>
      <w:r>
        <w:br/>
      </w:r>
      <w:r>
        <w:br/>
      </w:r>
    </w:p>
    <w:p>
      <w:pPr>
        <w:pStyle w:val="null3"/>
        <w:jc w:val="center"/>
        <w:outlineLvl w:val="2"/>
      </w:pPr>
      <w:r>
        <w:rPr>
          <w:rFonts w:ascii="仿宋_GB2312" w:hAnsi="仿宋_GB2312" w:cs="仿宋_GB2312" w:eastAsia="仿宋_GB2312"/>
          <w:sz w:val="28"/>
          <w:b/>
        </w:rPr>
        <w:t>西乡县民政局</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西乡县民政局</w:t>
      </w:r>
      <w:r>
        <w:rPr>
          <w:rFonts w:ascii="仿宋_GB2312" w:hAnsi="仿宋_GB2312" w:cs="仿宋_GB2312" w:eastAsia="仿宋_GB2312"/>
        </w:rPr>
        <w:t>委托，拟对</w:t>
      </w:r>
      <w:r>
        <w:rPr>
          <w:rFonts w:ascii="仿宋_GB2312" w:hAnsi="仿宋_GB2312" w:cs="仿宋_GB2312" w:eastAsia="仿宋_GB2312"/>
        </w:rPr>
        <w:t>西乡县康养服务中心建设项目监理</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JXRZ-HC-2025-128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西乡县康养服务中心建设项目监理</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拟对西乡县康养服务中心建设项目开展施工阶段全过程监理服务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采购包1（西乡县康养服务中心建设项目监理）：属于专门面向中小企业采购。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资质要求：供应商须具备建设行政主管部门核发的房屋建筑工程监理丙级及以上资质或工程监理综合资质；项目总监须具备房屋建筑工程专业国家注册监理工程师执业资格，在本单位注册，且未担任其他在建工程项目的总监理工程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陕西省汉中市西乡县城南街道办葛石社区民政综合服务中心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0916-6221819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15719163880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采购包1：2,031,100.00元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西乡县民政局</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西乡县民政局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工程监理标准应执行国家最新频布的《建设工程监理规范》及省、市或行业的相关规定。工程质量要求应达到国家质量检验与评定标准合格质量等级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联系人：李先生</w:t>
      </w:r>
    </w:p>
    <w:p>
      <w:pPr>
        <w:pStyle w:val="null3"/>
      </w:pPr>
      <w:r>
        <w:rPr>
          <w:rFonts w:ascii="仿宋_GB2312" w:hAnsi="仿宋_GB2312" w:cs="仿宋_GB2312" w:eastAsia="仿宋_GB2312"/>
        </w:rPr>
        <w:t>联系电话：15719163880</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拟对西乡县康养服务中心建设项目开展施工阶段全过程监理服务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2,031,100.00</w:t>
      </w:r>
    </w:p>
    <w:p>
      <w:pPr>
        <w:pStyle w:val="null3"/>
      </w:pPr>
      <w:r>
        <w:rPr>
          <w:rFonts w:ascii="仿宋_GB2312" w:hAnsi="仿宋_GB2312" w:cs="仿宋_GB2312" w:eastAsia="仿宋_GB2312"/>
        </w:rPr>
        <w:t>采购包最高限价（元）: 2,031,100.00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2,031,100.00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1、建设地点：</w:t>
            </w:r>
            <w:r>
              <w:rPr>
                <w:rFonts w:ascii="仿宋_GB2312" w:hAnsi="仿宋_GB2312" w:cs="仿宋_GB2312" w:eastAsia="仿宋_GB2312"/>
                <w:sz w:val="24"/>
              </w:rPr>
              <w:t>西乡县城南街道葛石社区</w:t>
            </w:r>
            <w:r>
              <w:rPr>
                <w:rFonts w:ascii="仿宋_GB2312" w:hAnsi="仿宋_GB2312" w:cs="仿宋_GB2312" w:eastAsia="仿宋_GB2312"/>
                <w:sz w:val="24"/>
              </w:rPr>
              <w:t>（</w:t>
            </w:r>
            <w:r>
              <w:rPr>
                <w:rFonts w:ascii="仿宋_GB2312" w:hAnsi="仿宋_GB2312" w:cs="仿宋_GB2312" w:eastAsia="仿宋_GB2312"/>
                <w:sz w:val="24"/>
              </w:rPr>
              <w:t>西乡县中心敬老院内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2、建设规模：</w:t>
            </w:r>
            <w:r>
              <w:rPr>
                <w:rFonts w:ascii="仿宋_GB2312" w:hAnsi="仿宋_GB2312" w:cs="仿宋_GB2312" w:eastAsia="仿宋_GB2312"/>
                <w:sz w:val="24"/>
              </w:rPr>
              <w:t>新建康养服务中心</w:t>
            </w:r>
            <w:r>
              <w:rPr>
                <w:rFonts w:ascii="仿宋_GB2312" w:hAnsi="仿宋_GB2312" w:cs="仿宋_GB2312" w:eastAsia="仿宋_GB2312"/>
                <w:sz w:val="24"/>
              </w:rPr>
              <w:t>1栋，地上7层，地下1层，为框架结构。其中地上建筑面积17334.24平方米，设置床位数426张</w:t>
            </w:r>
            <w:r>
              <w:rPr>
                <w:rFonts w:ascii="仿宋_GB2312" w:hAnsi="仿宋_GB2312" w:cs="仿宋_GB2312" w:eastAsia="仿宋_GB2312"/>
                <w:sz w:val="24"/>
              </w:rPr>
              <w:t>；</w:t>
            </w:r>
            <w:r>
              <w:rPr>
                <w:rFonts w:ascii="仿宋_GB2312" w:hAnsi="仿宋_GB2312" w:cs="仿宋_GB2312" w:eastAsia="仿宋_GB2312"/>
                <w:sz w:val="24"/>
              </w:rPr>
              <w:t>地下建筑面积</w:t>
            </w:r>
            <w:r>
              <w:rPr>
                <w:rFonts w:ascii="仿宋_GB2312" w:hAnsi="仿宋_GB2312" w:cs="仿宋_GB2312" w:eastAsia="仿宋_GB2312"/>
                <w:sz w:val="24"/>
              </w:rPr>
              <w:t>1033.37平方米</w:t>
            </w:r>
            <w:r>
              <w:rPr>
                <w:rFonts w:ascii="仿宋_GB2312" w:hAnsi="仿宋_GB2312" w:cs="仿宋_GB2312" w:eastAsia="仿宋_GB2312"/>
                <w:sz w:val="24"/>
              </w:rPr>
              <w:t>；</w:t>
            </w:r>
            <w:r>
              <w:rPr>
                <w:rFonts w:ascii="仿宋_GB2312" w:hAnsi="仿宋_GB2312" w:cs="仿宋_GB2312" w:eastAsia="仿宋_GB2312"/>
                <w:sz w:val="24"/>
              </w:rPr>
              <w:t>建成后可提供停车位</w:t>
            </w:r>
            <w:r>
              <w:rPr>
                <w:rFonts w:ascii="仿宋_GB2312" w:hAnsi="仿宋_GB2312" w:cs="仿宋_GB2312" w:eastAsia="仿宋_GB2312"/>
                <w:sz w:val="24"/>
              </w:rPr>
              <w:t>65个，对原有养老院进行外立面升级改造，改造面积4864.71平方米。配套给排水、电气、暖通、消防、人防、设备购置等室外工程建设。</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、监理范围：</w:t>
            </w:r>
            <w:r>
              <w:rPr>
                <w:rFonts w:ascii="仿宋_GB2312" w:hAnsi="仿宋_GB2312" w:cs="仿宋_GB2312" w:eastAsia="仿宋_GB2312"/>
                <w:sz w:val="24"/>
              </w:rPr>
              <w:t>拟对西乡县康养服务中心建设项目开展施工阶段全过程监理服务</w:t>
            </w:r>
            <w:r>
              <w:rPr>
                <w:rFonts w:ascii="仿宋_GB2312" w:hAnsi="仿宋_GB2312" w:cs="仿宋_GB2312" w:eastAsia="仿宋_GB2312"/>
                <w:sz w:val="24"/>
              </w:rPr>
              <w:t>，对项目实施过程进行监督、验收阶段监理及竣工验收资料移交的监理等相关工作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、监理内容：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1）质量控制：必须严格依照国家有关规定，检查施工单位所施工的项目是否符合预定的质量要求，而且整个监理工作中应强调对工程质量的事前控制、事中监管和事后评估。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2）进度控制：在工程实施过程中，监理工程师严格按照招标文件、合同、施工进度计划的要求，对施工进度进行跟进，确保整体施工有序进行。确保工程开、竣工时间进度计划按时完成。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3）安全目标：不发生人身安全事故；不发生较大机械设备损坏事故；不发生较大火灾事故；不发生负主要责任的较大交通事故；不发生因工程项目建设而造成的电网停电事故,不发生重大环境污染事故。</w:t>
            </w:r>
          </w:p>
          <w:p>
            <w:pPr>
              <w:pStyle w:val="null3"/>
              <w:ind w:firstLine="480"/>
              <w:jc w:val="both"/>
            </w:pPr>
            <w:r>
              <w:rPr>
                <w:rFonts w:ascii="仿宋_GB2312" w:hAnsi="仿宋_GB2312" w:cs="仿宋_GB2312" w:eastAsia="仿宋_GB2312"/>
                <w:sz w:val="24"/>
              </w:rPr>
              <w:t>工程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4）监理人员名单组成：要求项目至少有一名总监理</w:t>
            </w:r>
            <w:r>
              <w:rPr>
                <w:rFonts w:ascii="仿宋_GB2312" w:hAnsi="仿宋_GB2312" w:cs="仿宋_GB2312" w:eastAsia="仿宋_GB2312"/>
                <w:sz w:val="24"/>
              </w:rPr>
              <w:t>工程师</w:t>
            </w:r>
            <w:r>
              <w:rPr>
                <w:rFonts w:ascii="仿宋_GB2312" w:hAnsi="仿宋_GB2312" w:cs="仿宋_GB2312" w:eastAsia="仿宋_GB2312"/>
                <w:sz w:val="24"/>
              </w:rPr>
              <w:t>及三名以上监理人员全程跟进，其余人员可根据施工进度派驻合理人数，所有参与监理人员须持证上岗，项目实施过程中，不得更换监理人员。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5）所有程序必须符合国家相关监理规定和国家工程质量验收合格标准。</w:t>
            </w:r>
          </w:p>
          <w:p>
            <w:pPr>
              <w:pStyle w:val="null3"/>
              <w:ind w:firstLine="480"/>
              <w:jc w:val="both"/>
            </w:pPr>
            <w:r>
              <w:rPr>
                <w:rFonts w:ascii="仿宋_GB2312" w:hAnsi="仿宋_GB2312" w:cs="仿宋_GB2312" w:eastAsia="仿宋_GB2312"/>
                <w:sz w:val="24"/>
              </w:rPr>
              <w:t>5、技术标准：</w:t>
            </w:r>
          </w:p>
          <w:p>
            <w:pPr>
              <w:pStyle w:val="null3"/>
              <w:ind w:firstLine="480"/>
              <w:jc w:val="both"/>
            </w:pPr>
            <w:r>
              <w:rPr>
                <w:rFonts w:ascii="仿宋_GB2312" w:hAnsi="仿宋_GB2312" w:cs="仿宋_GB2312" w:eastAsia="仿宋_GB2312"/>
                <w:sz w:val="24"/>
              </w:rPr>
              <w:t>工程监理标准应执行国家最新频布的《建设工程监理规范》及省、市或行业的相关规定。工程质量要求应达到国家质量检验与评定标准合格质量等级，具体以采购人与供应商签订的合同为准</w:t>
            </w:r>
          </w:p>
          <w:p>
            <w:pPr>
              <w:pStyle w:val="null3"/>
              <w:ind w:firstLine="480"/>
              <w:jc w:val="both"/>
            </w:pPr>
            <w:r>
              <w:rPr>
                <w:rFonts w:ascii="仿宋_GB2312" w:hAnsi="仿宋_GB2312" w:cs="仿宋_GB2312" w:eastAsia="仿宋_GB2312"/>
                <w:sz w:val="24"/>
              </w:rPr>
              <w:t>6、监理服务周期要求：</w:t>
            </w:r>
          </w:p>
          <w:p>
            <w:pPr>
              <w:pStyle w:val="null3"/>
              <w:ind w:firstLine="480"/>
              <w:jc w:val="both"/>
            </w:pPr>
            <w:r>
              <w:rPr>
                <w:rFonts w:ascii="仿宋_GB2312" w:hAnsi="仿宋_GB2312" w:cs="仿宋_GB2312" w:eastAsia="仿宋_GB2312"/>
                <w:sz w:val="24"/>
              </w:rPr>
              <w:t>590日历天(从工程施工之日起至竣工验收、资料归档备案、保修期满之日止)。</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项目监理机构人员应专业配套齐全、年龄结构合理、人员资格满足建设工程监理合同约定和现场监理工作需要。要求项目至少有一名总监理工程师及三名以上监理人员全程跟进。</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建设工程监理的设施设备配置是保障监理工作有效开展的基础，需结合工程规模、技术难度、现场条件等因素，满足监理单位对工程质量、安全、进度、造价等方面的监督管理需求。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590日历天(从工程施工之日起至竣工验收、资料归档备案、保修期满之日止)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符合国家现行有关施工质量验收规范“合格”要求，满足合同约定和设计文件要求（如图纸、技术交底、变更单等）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3、本项目所属行业为 建筑业。4、乙方在项目实施过程中形成的所有原始资料、过程资料、最终成果及所涉知识产权归甲方所有，未经甲方书面同意，所有资料不得以任何方式、任何理由向第三方披露或提供，不得向任何人透露有关内容。5、服务标准达到国家及现行行业合格标准；成果交付根据委托人要求份数提供纸质及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房屋建筑工程监理丙级及以上资质或工程监理综合资质；项目总监须具备房屋建筑工程专业国家注册监理工程师执业资格，在本单位注册，且未担任其他在建工程项目的总监理工程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响应文件签署、盖章均按招标文件要求签字、盖章</w:t>
            </w:r>
          </w:p>
        </w:tc>
        <w:tc>
          <w:tcPr>
            <w:tcW w:type="dxa" w:w="1661"/>
          </w:tcPr>
          <w:p>
            <w:pPr>
              <w:pStyle w:val="null3"/>
            </w:pPr>
            <w:r>
              <w:rPr>
                <w:rFonts w:ascii="仿宋_GB2312" w:hAnsi="仿宋_GB2312" w:cs="仿宋_GB2312" w:eastAsia="仿宋_GB2312"/>
              </w:rPr>
              <w:t>开标一览表 服务内容及服务邀请应答表 供应商类似项目业绩一览表.docx 中小企业声明函 商务应答表 监理大纲.docx 供应商应提交的相关资格证明材料.docx 投标函 残疾人福利性单位声明函 项目总监简历表.docx 标的清单 投标文件封面 拟派项目团队人员配置表.docx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开标一览表 服务内容及服务邀请应答表 供应商类似项目业绩一览表.docx 中小企业声明函 商务应答表 监理大纲.docx 供应商应提交的相关资格证明材料.docx 投标函 残疾人福利性单位声明函 项目总监简历表.docx 标的清单 投标文件封面 拟派项目团队人员配置表.docx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一、评审内容： 投标人针对本项目的服务特点提出总体的服务实施方案，内容包括：1、监理工作目标及监理依据；2、监理工作程序；3、质量控制目标及措施；4、进度控制目标及措施；5、投资控制目标及措施；6、合同与信息管理方案；7、现场组织和协调管理方案；8、安全文明控制措施；9、技术重点、难点监理控制措施；10、监理工作制度；11、监理资料的管理及保修阶段的服务工作；12、对本项目的合理化建议。 二、评审标准： 1、完整性：内容须全面，对评审内容中的各项要求详细描述；2、可实施性：切合本项目时间情况，实施步骤清晰、合理；3、针对性：内容能够紧扣项目实际情况，科学合理； 三、赋分标准（满分54分）： 1、每满足一个评审标准得1.5分，满分4.5分；针对评审标准内容不齐全、存在有不合理处的扣0.5分（12项内容评审标准相同）。</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一、评审内容： 针对本项目特点有明确的组织架构，内容包括：①团队人员配置、组织机构管理制度及方案；②服务团队成员的工作职责及分工。 二、评审标准： 1、完整性：内容须全面，对评审内容中的各项要求详细描述；2、可实施性：切合本项目时间情况，实施步骤清晰、合理；3、针对性：内容能够紧扣项目实际情况，科学合理。 三、赋分标准(满分15分)： 1、每满足一个评审标准得2.5分,满分7.5分；针对评审标准内容不齐全、存在有不合理处的扣0.5分(2项内容评审标准相同)。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p>
            <w:pPr>
              <w:pStyle w:val="null3"/>
            </w:pPr>
            <w:r>
              <w:rPr>
                <w:rFonts w:ascii="仿宋_GB2312" w:hAnsi="仿宋_GB2312" w:cs="仿宋_GB2312" w:eastAsia="仿宋_GB2312"/>
              </w:rPr>
              <w:t>项目总监简历表.docx</w:t>
            </w:r>
          </w:p>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后续服务承诺方案及相关保证措施，内容包括：①对服务的保证措施；②能够处理各类紧急事项的措施；③保证项目实施，能够保证在规定的时间解决问题。 二、评审标准： 1、完整性：内容须全面，对评审内容中的各项要求详细描述；2、可实施性：切合本项目时间情况，实施步骤清晰、合理；3、针对性：内容能够紧扣项目实际情况，科学合理。 三、赋分标准(满分9分)： 1、每满足一个评审标准得1分，满分3分；针对评审标准内容不齐全、存在有不合理处的扣0.5分(3项内容评审标准相同)</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提供2022年至今（以合同签订时间为准）类似项目业绩，每个业绩得2分，最高得6分。（提供合同或中标通知书扫描件加盖单位公章）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总监理工程师能力</w:t>
            </w:r>
          </w:p>
        </w:tc>
        <w:tc>
          <w:tcPr>
            <w:tcW w:type="dxa" w:w="2492"/>
          </w:tcPr>
          <w:p>
            <w:pPr>
              <w:pStyle w:val="null3"/>
            </w:pPr>
            <w:r>
              <w:rPr>
                <w:rFonts w:ascii="仿宋_GB2312" w:hAnsi="仿宋_GB2312" w:cs="仿宋_GB2312" w:eastAsia="仿宋_GB2312"/>
              </w:rPr>
              <w:t>1、总监理工程师具备(建筑工程类)中级及以上职称得3分，其他不得分。（注:响应文件内附技术职称证） 2、总监理工程师提供2022年至今（以合同签订时间为准）类似项目业绩，每个业绩得1.5分，最高得3分。（提供合同或中标通知书扫描件加盖单位公章）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项目总监简历表.docx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高于采购预算的和经评审小组认定投标报价低于成本的，报价无效。满足招标文件要求且投标价格最低的投标报价为投标基准价。其他投标人的价格分统一按照下列公式计算： 投标报价得分=（投标基准价/投标报价）×价格权值（即10%）×100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详见附件：监理大纲.docx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详见附件：项目总监简历表.docx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