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版本号：0617-25A6FZ310320251113001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森林草原湿地荒漠化普查项目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0617-25A6FZ3103</w:t>
      </w:r>
      <w:r>
        <w:br/>
      </w:r>
      <w:r>
        <w:br/>
      </w:r>
      <w:r>
        <w:br/>
      </w:r>
    </w:p>
    <w:p>
      <w:pPr>
        <w:pStyle w:val="null3"/>
        <w:jc w:val="center"/>
        <w:outlineLvl w:val="2"/>
      </w:pPr>
      <w:r>
        <w:rPr>
          <w:rFonts w:ascii="仿宋_GB2312" w:hAnsi="仿宋_GB2312" w:cs="仿宋_GB2312" w:eastAsia="仿宋_GB2312"/>
          <w:sz w:val="28"/>
          <w:b/>
        </w:rPr>
        <w:t>西乡县林业局</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西乡县林业局</w:t>
      </w:r>
      <w:r>
        <w:rPr>
          <w:rFonts w:ascii="仿宋_GB2312" w:hAnsi="仿宋_GB2312" w:cs="仿宋_GB2312" w:eastAsia="仿宋_GB2312"/>
        </w:rPr>
        <w:t>委托，拟对</w:t>
      </w:r>
      <w:r>
        <w:rPr>
          <w:rFonts w:ascii="仿宋_GB2312" w:hAnsi="仿宋_GB2312" w:cs="仿宋_GB2312" w:eastAsia="仿宋_GB2312"/>
        </w:rPr>
        <w:t>森林草原湿地荒漠化普查项目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0617-25A6FZ3103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森林草原湿地荒漠化普查项目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需完成西乡县约50500个地类不一致图斑的内业认定和外业举证工作。并在不一致图斑地类对接基础上，对西乡县林地、草地、湿地图斑的属性进行调查，并对图斑蓄积、林种、土壤、覆盖度等重要属性信息进行全面更新。落实西乡县经营管理界限，标记非林地植被覆盖信息。形成西乡县林草湿荒普查数据库和成果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的能力：供应商为具有独立承担民事责任能力的企业法人、事业法人或其他组织或自然人，提供营业执照（事业单位须事业单位法人证、组织机构代码证等证明文件；其他组织应提供合法证明文件,自然人提供身份证明文件）;</w:t>
      </w:r>
    </w:p>
    <w:p>
      <w:pPr>
        <w:pStyle w:val="null3"/>
      </w:pPr>
      <w:r>
        <w:rPr>
          <w:rFonts w:ascii="仿宋_GB2312" w:hAnsi="仿宋_GB2312" w:cs="仿宋_GB2312" w:eastAsia="仿宋_GB2312"/>
        </w:rPr>
        <w:t>2、法定代表人证明书或授权书：法定代表人直接参加磋商的，须提供法定代表人证明书，法定代表人授权代表参加磋商的，须提供法定代表人授权书，供应商需在项目电子化交易系统中按要求上传相应证明文件并进行电子签章;</w:t>
      </w:r>
    </w:p>
    <w:p>
      <w:pPr>
        <w:pStyle w:val="null3"/>
      </w:pPr>
      <w:r>
        <w:rPr>
          <w:rFonts w:ascii="仿宋_GB2312" w:hAnsi="仿宋_GB2312" w:cs="仿宋_GB2312" w:eastAsia="仿宋_GB2312"/>
        </w:rPr>
        <w:t>3、资格承诺函：供应商具有良好的商业信誉和健全的财务会计制度,具有履行合同所必需的设备和专业技术能力,具有依法缴纳税收和社会保障金的良好记录，参加本项目采购活动前三年内无重大违法活动记录，在信用中国网站（www.creditchina.gov.cn）不得被列入“失信被执行人查询”、不得被列入“重大税收违法案件当事人名单（重大税收违法失信主体名单），在中国政府采购网网站（www.ccgp.gov.cn）不得被列入“政府采购严重违法失信行为记录名单”并按照汉财办采管[2024]20号文件通知要求，提供《汉中市政府采购供应商资格承诺函》； 若未提供资格信用承诺函的，应当提供相应的证明材料（1、具有良好的商业信誉和健全的财务会计制度：①提供2023年度或2024年度经审计财务报告（包括四表一注，即资产负债表、利润表、现金流量表、所有者权益变动表及其附注），且无反对意见；事业法人提供部门决算报告；/②在磋商日期前六个月内其基本开户银行出具的资信证明（附《基本存款账户信息》或《银行开户许可证》复印件）；/③财政部门认可的政府采购专业担保机构出具的磋商担保函；以上三种形式的资料提供任何一种即可。2、具有履行合同所必需的设备和专业技术能力：提供声明文件。3、具有依法缴纳税收的良好记录：①提供缴费所属日期为磋商响应截止时间前12个月内任一月份（磋商响应截止时间当月不计入）的增值税或所得税缴费凭据或税务机关出具的完税证明/②在法规范围内不需提供的应出具书面说明和证明文件；以上两种形式的资料提供任何一种即可。4、具有依法缴纳社会保障资金的良好记录：①提供缴费所属日期为磋商响应截止时间前12个月内任一月份（磋商响应截止时间当月不计入）的缴费凭据或社保机关出具的缴费证明/②在法规范围内不需提供的应出具书面说明和证明文件；以上两种形式的资料提供任何一种即可。 5、参加政府采购活动前3年内在经营活动中没有重大违法记录：提供声明文件。备注：供应商需在项目电子化交易系统中按要求上传相应证明文件并进行电子签章）;</w:t>
      </w:r>
    </w:p>
    <w:p>
      <w:pPr>
        <w:pStyle w:val="null3"/>
      </w:pPr>
      <w:r>
        <w:rPr>
          <w:rFonts w:ascii="仿宋_GB2312" w:hAnsi="仿宋_GB2312" w:cs="仿宋_GB2312" w:eastAsia="仿宋_GB2312"/>
        </w:rPr>
        <w:t>4、资质证书：供应商须具有由国家行政主管部门颁发的测绘乙级及以上资质（须包含摄影测量与遥感专业）;</w:t>
      </w:r>
    </w:p>
    <w:p>
      <w:pPr>
        <w:pStyle w:val="null3"/>
      </w:pPr>
      <w:r>
        <w:rPr>
          <w:rFonts w:ascii="仿宋_GB2312" w:hAnsi="仿宋_GB2312" w:cs="仿宋_GB2312" w:eastAsia="仿宋_GB2312"/>
        </w:rPr>
        <w:t>5、本项目不接受联合体磋商：本项目不接受联合体磋商。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西乡县城北街道办鹿龄路78号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0916-3181813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029-89328565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标准下浮20%计算，若代理服务费不足伍仟元按伍仟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西乡县林业局</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 自行验收 2)是否邀请本项目的其他供应商:否 3)是否邀请专家:否 4)是否邀请服务对象:否 5)是否邀请第三方检测机构: 否 6)履约验收程序:一次性验收 7)履约验收时间: 供应商提出验收申请之日起15日内组织验收 8)验收组织的其他事项:按照响应交件及合同相关条款 9)技术履约验收内容:采购项目技术要求及供应商承诺 10)商务履约验收内容:采购项目商务要求及供应商承诺 11)履约验收标准:合格 12)履约验收其他事项:按照响应文件及合同相关条款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需完成西乡县约50500个地类不一致图斑的内业认定和外业举证工作。并在不一致图斑地类对接基础上，对西乡县林地、草地、湿地图斑的属性进行调查，并对图斑蓄积、林种、土壤、覆盖度等重要属性信息进行全面更新。落实西乡县经营管理界限，标记非林地植被覆盖信息。形成西乡县林草湿荒普查数据库和成果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西乡县森林草原湿地荒漠化普查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标的名称：西乡县森林草原湿地荒漠化普查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一、服务期限、服务地点</w:t>
            </w:r>
          </w:p>
          <w:p>
            <w:pPr>
              <w:pStyle w:val="null3"/>
              <w:ind w:firstLine="420"/>
            </w:pPr>
            <w:r>
              <w:rPr>
                <w:rFonts w:ascii="仿宋_GB2312" w:hAnsi="仿宋_GB2312" w:cs="仿宋_GB2312" w:eastAsia="仿宋_GB2312"/>
                <w:sz w:val="21"/>
              </w:rPr>
              <w:t>服务期限：</w:t>
            </w:r>
            <w:r>
              <w:rPr>
                <w:rFonts w:ascii="仿宋_GB2312" w:hAnsi="仿宋_GB2312" w:cs="仿宋_GB2312" w:eastAsia="仿宋_GB2312"/>
                <w:sz w:val="21"/>
              </w:rPr>
              <w:t>120日历天</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服务地点：采购人指定地点。</w:t>
            </w:r>
          </w:p>
          <w:p>
            <w:pPr>
              <w:pStyle w:val="null3"/>
            </w:pPr>
            <w:r>
              <w:rPr>
                <w:rFonts w:ascii="仿宋_GB2312" w:hAnsi="仿宋_GB2312" w:cs="仿宋_GB2312" w:eastAsia="仿宋_GB2312"/>
                <w:sz w:val="21"/>
                <w:b/>
              </w:rPr>
              <w:t>二、采购预算</w:t>
            </w:r>
          </w:p>
          <w:p>
            <w:pPr>
              <w:pStyle w:val="null3"/>
              <w:ind w:firstLine="420"/>
            </w:pPr>
            <w:r>
              <w:rPr>
                <w:rFonts w:ascii="仿宋_GB2312" w:hAnsi="仿宋_GB2312" w:cs="仿宋_GB2312" w:eastAsia="仿宋_GB2312"/>
                <w:sz w:val="21"/>
              </w:rPr>
              <w:t>合同包</w:t>
            </w:r>
            <w:r>
              <w:rPr>
                <w:rFonts w:ascii="仿宋_GB2312" w:hAnsi="仿宋_GB2312" w:cs="仿宋_GB2312" w:eastAsia="仿宋_GB2312"/>
                <w:sz w:val="21"/>
              </w:rPr>
              <w:t>1（</w:t>
            </w:r>
            <w:r>
              <w:rPr>
                <w:rFonts w:ascii="仿宋_GB2312" w:hAnsi="仿宋_GB2312" w:cs="仿宋_GB2312" w:eastAsia="仿宋_GB2312"/>
                <w:sz w:val="21"/>
              </w:rPr>
              <w:t>西乡县森林草原湿地荒漠化普查项目</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90</w:t>
            </w:r>
            <w:r>
              <w:rPr>
                <w:rFonts w:ascii="仿宋_GB2312" w:hAnsi="仿宋_GB2312" w:cs="仿宋_GB2312" w:eastAsia="仿宋_GB2312"/>
                <w:sz w:val="21"/>
              </w:rPr>
              <w:t>0000.00元</w:t>
            </w:r>
          </w:p>
          <w:p>
            <w:pPr>
              <w:pStyle w:val="null3"/>
            </w:pPr>
            <w:r>
              <w:rPr>
                <w:rFonts w:ascii="仿宋_GB2312" w:hAnsi="仿宋_GB2312" w:cs="仿宋_GB2312" w:eastAsia="仿宋_GB2312"/>
                <w:sz w:val="21"/>
                <w:b/>
              </w:rPr>
              <w:t>三、付款方式</w:t>
            </w:r>
          </w:p>
          <w:p>
            <w:pPr>
              <w:pStyle w:val="null3"/>
              <w:ind w:firstLine="420"/>
            </w:pPr>
            <w:r>
              <w:rPr>
                <w:rFonts w:ascii="仿宋_GB2312" w:hAnsi="仿宋_GB2312" w:cs="仿宋_GB2312" w:eastAsia="仿宋_GB2312"/>
                <w:sz w:val="21"/>
              </w:rPr>
              <w:t>采购人付款前，成交供应商应向采购人提供等额有效且符合采购人财务管理要求的增值税发票或者财政监制的非税收入票据，否则采购人有权拒绝付款且不承担违约责任；</w:t>
            </w:r>
          </w:p>
          <w:p>
            <w:pPr>
              <w:pStyle w:val="null3"/>
              <w:ind w:firstLine="420"/>
            </w:pPr>
            <w:r>
              <w:rPr>
                <w:rFonts w:ascii="仿宋_GB2312" w:hAnsi="仿宋_GB2312" w:cs="仿宋_GB2312" w:eastAsia="仿宋_GB2312"/>
                <w:sz w:val="21"/>
              </w:rPr>
              <w:t>合同签订后，达到付款条件起</w:t>
            </w:r>
            <w:r>
              <w:rPr>
                <w:rFonts w:ascii="仿宋_GB2312" w:hAnsi="仿宋_GB2312" w:cs="仿宋_GB2312" w:eastAsia="仿宋_GB2312"/>
                <w:sz w:val="21"/>
              </w:rPr>
              <w:t>15日内，</w:t>
            </w:r>
            <w:r>
              <w:rPr>
                <w:rFonts w:ascii="仿宋_GB2312" w:hAnsi="仿宋_GB2312" w:cs="仿宋_GB2312" w:eastAsia="仿宋_GB2312"/>
                <w:sz w:val="21"/>
              </w:rPr>
              <w:t>支付合同总金额的</w:t>
            </w:r>
            <w:r>
              <w:rPr>
                <w:rFonts w:ascii="仿宋_GB2312" w:hAnsi="仿宋_GB2312" w:cs="仿宋_GB2312" w:eastAsia="仿宋_GB2312"/>
                <w:sz w:val="21"/>
              </w:rPr>
              <w:t>50%</w:t>
            </w:r>
            <w:r>
              <w:rPr>
                <w:rFonts w:ascii="仿宋_GB2312" w:hAnsi="仿宋_GB2312" w:cs="仿宋_GB2312" w:eastAsia="仿宋_GB2312"/>
                <w:sz w:val="21"/>
              </w:rPr>
              <w:t>。项目结束，达到付款条件起</w:t>
            </w:r>
            <w:r>
              <w:rPr>
                <w:rFonts w:ascii="仿宋_GB2312" w:hAnsi="仿宋_GB2312" w:cs="仿宋_GB2312" w:eastAsia="仿宋_GB2312"/>
                <w:sz w:val="21"/>
              </w:rPr>
              <w:t>30日内，</w:t>
            </w:r>
            <w:r>
              <w:rPr>
                <w:rFonts w:ascii="仿宋_GB2312" w:hAnsi="仿宋_GB2312" w:cs="仿宋_GB2312" w:eastAsia="仿宋_GB2312"/>
                <w:sz w:val="21"/>
              </w:rPr>
              <w:t>支付合同总金额的</w:t>
            </w:r>
            <w:r>
              <w:rPr>
                <w:rFonts w:ascii="仿宋_GB2312" w:hAnsi="仿宋_GB2312" w:cs="仿宋_GB2312" w:eastAsia="仿宋_GB2312"/>
                <w:sz w:val="21"/>
              </w:rPr>
              <w:t>50%</w:t>
            </w:r>
            <w:r>
              <w:rPr>
                <w:rFonts w:ascii="仿宋_GB2312" w:hAnsi="仿宋_GB2312" w:cs="仿宋_GB2312" w:eastAsia="仿宋_GB2312"/>
                <w:sz w:val="21"/>
              </w:rPr>
              <w:t>。</w:t>
            </w:r>
          </w:p>
          <w:p>
            <w:pPr>
              <w:pStyle w:val="null3"/>
            </w:pPr>
            <w:r>
              <w:rPr>
                <w:rFonts w:ascii="仿宋_GB2312" w:hAnsi="仿宋_GB2312" w:cs="仿宋_GB2312" w:eastAsia="仿宋_GB2312"/>
                <w:sz w:val="21"/>
                <w:b/>
              </w:rPr>
              <w:t>四、知识产权</w:t>
            </w:r>
          </w:p>
          <w:p>
            <w:pPr>
              <w:pStyle w:val="null3"/>
              <w:ind w:firstLine="420"/>
            </w:pPr>
            <w:r>
              <w:rPr>
                <w:rFonts w:ascii="仿宋_GB2312" w:hAnsi="仿宋_GB2312" w:cs="仿宋_GB2312" w:eastAsia="仿宋_GB2312"/>
                <w:sz w:val="21"/>
              </w:rPr>
              <w:t>采购人在中华人民共和国境内使用供应商提供的服务时免受第三方提出的侵犯其专利权或其他知识产权的起诉。如果第三方提出侵权指控，成交人应承担由此而引起的一切法律责任和费用。</w:t>
            </w:r>
          </w:p>
          <w:p>
            <w:pPr>
              <w:pStyle w:val="null3"/>
            </w:pPr>
            <w:r>
              <w:rPr>
                <w:rFonts w:ascii="仿宋_GB2312" w:hAnsi="仿宋_GB2312" w:cs="仿宋_GB2312" w:eastAsia="仿宋_GB2312"/>
                <w:sz w:val="21"/>
                <w:b/>
              </w:rPr>
              <w:t>五、采购内容</w:t>
            </w:r>
          </w:p>
          <w:p>
            <w:pPr>
              <w:pStyle w:val="null3"/>
              <w:ind w:firstLine="420"/>
            </w:pPr>
            <w:r>
              <w:rPr>
                <w:rFonts w:ascii="仿宋_GB2312" w:hAnsi="仿宋_GB2312" w:cs="仿宋_GB2312" w:eastAsia="仿宋_GB2312"/>
                <w:sz w:val="21"/>
              </w:rPr>
              <w:t>完成西乡县</w:t>
            </w:r>
            <w:r>
              <w:rPr>
                <w:rFonts w:ascii="仿宋_GB2312" w:hAnsi="仿宋_GB2312" w:cs="仿宋_GB2312" w:eastAsia="仿宋_GB2312"/>
                <w:sz w:val="21"/>
              </w:rPr>
              <w:t>约</w:t>
            </w:r>
            <w:r>
              <w:rPr>
                <w:rFonts w:ascii="仿宋_GB2312" w:hAnsi="仿宋_GB2312" w:cs="仿宋_GB2312" w:eastAsia="仿宋_GB2312"/>
                <w:sz w:val="21"/>
              </w:rPr>
              <w:t>50</w:t>
            </w:r>
            <w:r>
              <w:rPr>
                <w:rFonts w:ascii="仿宋_GB2312" w:hAnsi="仿宋_GB2312" w:cs="仿宋_GB2312" w:eastAsia="仿宋_GB2312"/>
                <w:sz w:val="21"/>
              </w:rPr>
              <w:t>500</w:t>
            </w:r>
            <w:r>
              <w:rPr>
                <w:rFonts w:ascii="仿宋_GB2312" w:hAnsi="仿宋_GB2312" w:cs="仿宋_GB2312" w:eastAsia="仿宋_GB2312"/>
                <w:sz w:val="21"/>
              </w:rPr>
              <w:t>个地类不一致图斑的内业认定和外业举证工作。并在不一致图斑地类对接基础上，对</w:t>
            </w:r>
            <w:r>
              <w:rPr>
                <w:rFonts w:ascii="仿宋_GB2312" w:hAnsi="仿宋_GB2312" w:cs="仿宋_GB2312" w:eastAsia="仿宋_GB2312"/>
                <w:sz w:val="21"/>
              </w:rPr>
              <w:t>西乡</w:t>
            </w:r>
            <w:r>
              <w:rPr>
                <w:rFonts w:ascii="仿宋_GB2312" w:hAnsi="仿宋_GB2312" w:cs="仿宋_GB2312" w:eastAsia="仿宋_GB2312"/>
                <w:sz w:val="21"/>
              </w:rPr>
              <w:t>县林地、草地、湿地图斑的属性进行调查，并对图斑蓄积、林种、土壤、覆盖度等重要</w:t>
            </w:r>
            <w:r>
              <w:rPr>
                <w:rFonts w:ascii="仿宋_GB2312" w:hAnsi="仿宋_GB2312" w:cs="仿宋_GB2312" w:eastAsia="仿宋_GB2312"/>
                <w:sz w:val="21"/>
              </w:rPr>
              <w:t>属性</w:t>
            </w:r>
            <w:r>
              <w:rPr>
                <w:rFonts w:ascii="仿宋_GB2312" w:hAnsi="仿宋_GB2312" w:cs="仿宋_GB2312" w:eastAsia="仿宋_GB2312"/>
                <w:sz w:val="21"/>
              </w:rPr>
              <w:t>信息进行全面更新。落实西乡县经营管理界限，标记非林地植被覆盖信息。形成西乡县林草湿荒普查数据库和成果报告</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b/>
              </w:rPr>
              <w:t>主要任务</w:t>
            </w:r>
            <w:r>
              <w:rPr>
                <w:rFonts w:ascii="仿宋_GB2312" w:hAnsi="仿宋_GB2312" w:cs="仿宋_GB2312" w:eastAsia="仿宋_GB2312"/>
                <w:sz w:val="21"/>
                <w:b/>
              </w:rPr>
              <w:t>：</w:t>
            </w:r>
          </w:p>
          <w:p>
            <w:pPr>
              <w:pStyle w:val="null3"/>
              <w:ind w:firstLine="420"/>
            </w:pPr>
            <w:r>
              <w:rPr>
                <w:rFonts w:ascii="仿宋_GB2312" w:hAnsi="仿宋_GB2312" w:cs="仿宋_GB2312" w:eastAsia="仿宋_GB2312"/>
                <w:sz w:val="21"/>
              </w:rPr>
              <w:t>1.完成地类对接工作，解决林草湿调查监测植被覆盖类型与国土调查二级地类不一致问题；</w:t>
            </w:r>
          </w:p>
          <w:p>
            <w:pPr>
              <w:pStyle w:val="null3"/>
              <w:ind w:firstLine="420"/>
            </w:pPr>
            <w:r>
              <w:rPr>
                <w:rFonts w:ascii="仿宋_GB2312" w:hAnsi="仿宋_GB2312" w:cs="仿宋_GB2312" w:eastAsia="仿宋_GB2312"/>
                <w:sz w:val="21"/>
              </w:rPr>
              <w:t>2.完成普查试点工作，总结试点经验和技术方法；</w:t>
            </w:r>
          </w:p>
          <w:p>
            <w:pPr>
              <w:pStyle w:val="null3"/>
              <w:ind w:firstLine="420"/>
            </w:pPr>
            <w:r>
              <w:rPr>
                <w:rFonts w:ascii="仿宋_GB2312" w:hAnsi="仿宋_GB2312" w:cs="仿宋_GB2312" w:eastAsia="仿宋_GB2312"/>
                <w:sz w:val="21"/>
              </w:rPr>
              <w:t>3.开展图斑区划调查，</w:t>
            </w:r>
            <w:r>
              <w:rPr>
                <w:rFonts w:ascii="仿宋_GB2312" w:hAnsi="仿宋_GB2312" w:cs="仿宋_GB2312" w:eastAsia="仿宋_GB2312"/>
                <w:sz w:val="21"/>
              </w:rPr>
              <w:t>完成</w:t>
            </w:r>
            <w:r>
              <w:rPr>
                <w:rFonts w:ascii="仿宋_GB2312" w:hAnsi="仿宋_GB2312" w:cs="仿宋_GB2312" w:eastAsia="仿宋_GB2312"/>
                <w:sz w:val="21"/>
              </w:rPr>
              <w:t>林草湿地类图斑完成属性因子赋值和补充调查</w:t>
            </w:r>
            <w:r>
              <w:rPr>
                <w:rFonts w:ascii="仿宋_GB2312" w:hAnsi="仿宋_GB2312" w:cs="仿宋_GB2312" w:eastAsia="仿宋_GB2312"/>
                <w:sz w:val="21"/>
              </w:rPr>
              <w:t>工作</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4.落实经营管理单位界线，</w:t>
            </w:r>
            <w:r>
              <w:rPr>
                <w:rFonts w:ascii="仿宋_GB2312" w:hAnsi="仿宋_GB2312" w:cs="仿宋_GB2312" w:eastAsia="仿宋_GB2312"/>
                <w:sz w:val="21"/>
              </w:rPr>
              <w:t>标记</w:t>
            </w:r>
            <w:r>
              <w:rPr>
                <w:rFonts w:ascii="仿宋_GB2312" w:hAnsi="仿宋_GB2312" w:cs="仿宋_GB2312" w:eastAsia="仿宋_GB2312"/>
                <w:sz w:val="21"/>
              </w:rPr>
              <w:t>非林地上森林植被覆盖</w:t>
            </w:r>
            <w:r>
              <w:rPr>
                <w:rFonts w:ascii="仿宋_GB2312" w:hAnsi="仿宋_GB2312" w:cs="仿宋_GB2312" w:eastAsia="仿宋_GB2312"/>
                <w:sz w:val="21"/>
              </w:rPr>
              <w:t>类型</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5.建立数据库。汇总调查数据，经市级、省级复核并上报国家</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420"/>
            </w:pPr>
            <w:r>
              <w:rPr>
                <w:rFonts w:ascii="仿宋_GB2312" w:hAnsi="仿宋_GB2312" w:cs="仿宋_GB2312" w:eastAsia="仿宋_GB2312"/>
                <w:sz w:val="21"/>
              </w:rPr>
              <w:t>（一）工作要求</w:t>
            </w:r>
          </w:p>
          <w:p>
            <w:pPr>
              <w:pStyle w:val="null3"/>
              <w:ind w:firstLine="420"/>
            </w:pPr>
            <w:r>
              <w:rPr>
                <w:rFonts w:ascii="仿宋_GB2312" w:hAnsi="仿宋_GB2312" w:cs="仿宋_GB2312" w:eastAsia="仿宋_GB2312"/>
                <w:sz w:val="21"/>
              </w:rPr>
              <w:t>按照</w:t>
            </w:r>
            <w:r>
              <w:rPr>
                <w:rFonts w:ascii="仿宋_GB2312" w:hAnsi="仿宋_GB2312" w:cs="仿宋_GB2312" w:eastAsia="仿宋_GB2312"/>
                <w:sz w:val="21"/>
              </w:rPr>
              <w:t>“国家总体部署、地方共同认定、逐级地类核实、统一更新成果”的原则，采用“国家内业比对预判，地方地类实地核实举证、内业更新建库”技术流程实施。</w:t>
            </w:r>
          </w:p>
          <w:p>
            <w:pPr>
              <w:pStyle w:val="null3"/>
              <w:ind w:firstLine="420"/>
            </w:pPr>
            <w:r>
              <w:rPr>
                <w:rFonts w:ascii="仿宋_GB2312" w:hAnsi="仿宋_GB2312" w:cs="仿宋_GB2312" w:eastAsia="仿宋_GB2312"/>
                <w:sz w:val="21"/>
              </w:rPr>
              <w:t>在国土调查与林草湿调查地类对接后，以最新年度国土变更调查成果为基础，进行西乡县森林草原湿地荒漠化普查，采取遥感监测、档案更新、补充调查、现地核实等方式，摸清林草湿资源数量、质量、结构等情况，形成西乡县森林草原湿地荒漠化普查数据库，按市级、省级要求完成图斑调查成果数据库汇交，全面完成普查任务。</w:t>
            </w:r>
          </w:p>
          <w:p>
            <w:pPr>
              <w:pStyle w:val="null3"/>
              <w:ind w:firstLine="420"/>
            </w:pPr>
            <w:r>
              <w:rPr>
                <w:rFonts w:ascii="仿宋_GB2312" w:hAnsi="仿宋_GB2312" w:cs="仿宋_GB2312" w:eastAsia="仿宋_GB2312"/>
                <w:sz w:val="21"/>
              </w:rPr>
              <w:t>（二）主要工作内容</w:t>
            </w:r>
          </w:p>
          <w:p>
            <w:pPr>
              <w:pStyle w:val="null3"/>
              <w:ind w:firstLine="420"/>
            </w:pPr>
            <w:r>
              <w:rPr>
                <w:rFonts w:ascii="仿宋_GB2312" w:hAnsi="仿宋_GB2312" w:cs="仿宋_GB2312" w:eastAsia="仿宋_GB2312"/>
                <w:sz w:val="21"/>
              </w:rPr>
              <w:t>根据国土三调变更数据及林草湿调查数据，以及省级下达的不一致图斑，主要工作内容如下：</w:t>
            </w:r>
          </w:p>
          <w:p>
            <w:pPr>
              <w:pStyle w:val="null3"/>
              <w:ind w:firstLine="420"/>
            </w:pPr>
            <w:r>
              <w:rPr>
                <w:rFonts w:ascii="仿宋_GB2312" w:hAnsi="仿宋_GB2312" w:cs="仿宋_GB2312" w:eastAsia="仿宋_GB2312"/>
                <w:sz w:val="21"/>
              </w:rPr>
              <w:t>1.内业判读、对接国家下发图斑与林草湿图斑叠加，形成外业核实工作底图；</w:t>
            </w:r>
          </w:p>
          <w:p>
            <w:pPr>
              <w:pStyle w:val="null3"/>
              <w:ind w:firstLine="420"/>
            </w:pPr>
            <w:r>
              <w:rPr>
                <w:rFonts w:ascii="仿宋_GB2312" w:hAnsi="仿宋_GB2312" w:cs="仿宋_GB2312" w:eastAsia="仿宋_GB2312"/>
                <w:sz w:val="21"/>
              </w:rPr>
              <w:t>2.内业认定协商，共同认定地类；</w:t>
            </w:r>
          </w:p>
          <w:p>
            <w:pPr>
              <w:pStyle w:val="null3"/>
              <w:ind w:firstLine="420"/>
            </w:pPr>
            <w:r>
              <w:rPr>
                <w:rFonts w:ascii="仿宋_GB2312" w:hAnsi="仿宋_GB2312" w:cs="仿宋_GB2312" w:eastAsia="仿宋_GB2312"/>
                <w:sz w:val="21"/>
              </w:rPr>
              <w:t>3.外业核实举证，对双方经内业认定不能统一的地类开展外业核实举证；</w:t>
            </w:r>
          </w:p>
          <w:p>
            <w:pPr>
              <w:pStyle w:val="null3"/>
              <w:ind w:firstLine="420"/>
            </w:pPr>
            <w:r>
              <w:rPr>
                <w:rFonts w:ascii="仿宋_GB2312" w:hAnsi="仿宋_GB2312" w:cs="仿宋_GB2312" w:eastAsia="仿宋_GB2312"/>
                <w:sz w:val="21"/>
              </w:rPr>
              <w:t>4.内业资料补正完善录入上传，对所有举证照片、举证小班因子等资料完善上传；</w:t>
            </w:r>
          </w:p>
          <w:p>
            <w:pPr>
              <w:pStyle w:val="null3"/>
              <w:ind w:firstLine="420"/>
            </w:pPr>
            <w:r>
              <w:rPr>
                <w:rFonts w:ascii="仿宋_GB2312" w:hAnsi="仿宋_GB2312" w:cs="仿宋_GB2312" w:eastAsia="仿宋_GB2312"/>
                <w:sz w:val="21"/>
              </w:rPr>
              <w:t>5.初步成果与市级、省级对接确认；</w:t>
            </w:r>
          </w:p>
          <w:p>
            <w:pPr>
              <w:pStyle w:val="null3"/>
              <w:ind w:firstLine="420"/>
            </w:pPr>
            <w:r>
              <w:rPr>
                <w:rFonts w:ascii="仿宋_GB2312" w:hAnsi="仿宋_GB2312" w:cs="仿宋_GB2312" w:eastAsia="仿宋_GB2312"/>
                <w:sz w:val="21"/>
              </w:rPr>
              <w:t>6.成果编制，包括报告编制、表格制作、专题图制作等；</w:t>
            </w:r>
          </w:p>
          <w:p>
            <w:pPr>
              <w:pStyle w:val="null3"/>
              <w:ind w:firstLine="420"/>
            </w:pPr>
            <w:r>
              <w:rPr>
                <w:rFonts w:ascii="仿宋_GB2312" w:hAnsi="仿宋_GB2312" w:cs="仿宋_GB2312" w:eastAsia="仿宋_GB2312"/>
                <w:sz w:val="21"/>
              </w:rPr>
              <w:t>7.国土调查与林草湿调查地类对接完成后，按照省级要求开展全县森林草原湿地荒漠化普查，形成西乡县森林草原湿地普查成果及空间基础矢量数据库，经市级、省级复核并最终上报；</w:t>
            </w:r>
          </w:p>
          <w:p>
            <w:pPr>
              <w:pStyle w:val="null3"/>
              <w:ind w:firstLine="420"/>
            </w:pPr>
            <w:r>
              <w:rPr>
                <w:rFonts w:ascii="仿宋_GB2312" w:hAnsi="仿宋_GB2312" w:cs="仿宋_GB2312" w:eastAsia="仿宋_GB2312"/>
                <w:sz w:val="21"/>
              </w:rPr>
              <w:t>8.全面完成普查任务。</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采购人按照政府采购合同规定的技术、服务对供应商履约情况进行验收，并出具验收书。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采购人付款前，成交供应商应向采购人提供等额有效且符合采购人财务管理要求的增值税发票或者财政监制的非税收入票据，否则采购人有权拒绝付款且不承担违约责任；合同签订后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采购人付款前，成交供应商应向采购人提供等额有效且符合采购人财务管理要求的增值税发票或者财政监制的非税收入票据，否则采购人有权拒绝付款且不承担违约责任；项目结束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如果成交供应商未能履行合同或履行合同不符合约定，采购人应就此向成交供应商发出书面通知，指出成交供应商没有适当履行的合同条款，并要求纠正。如果成交供应商确属违约，并且成交供应商在收到采购人书面通知之日起十五日内仍不纠正违约行为或已无法纠正，采购人有权要求成交供应商承担金额最高不超过服务费总额30％的违约金。 ★2 采购人应当根据本合同约定按时向成交供应商付款，无正当理由迟延付款的，每逾期支付一天应向成交供应商缴纳该项目应收费用的万分之五的逾期违约金，逾期超过15天以上时，成交供应商有权暂停下阶段工作，也不再提供任何辅助义务，并书面通知采购人。</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响应文件，成交供应商在中标（成交）结果公示期结束后须向采购人及代理机构提交纸质版响应文件正本1套、副本2套、电子版(U盘1份）。纸质响应文件应与电子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资格证明文件 残疾人福利性单位声明函 中小企业声明函 业绩 服务内容及服务要求应答表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或其他组织或自然人，提供营业执照（事业单位须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法定代表人证明书或授权书</w:t>
            </w:r>
          </w:p>
        </w:tc>
        <w:tc>
          <w:tcPr>
            <w:tcW w:type="dxa" w:w="3322"/>
          </w:tcPr>
          <w:p>
            <w:pPr>
              <w:pStyle w:val="null3"/>
            </w:pPr>
            <w:r>
              <w:rPr>
                <w:rFonts w:ascii="仿宋_GB2312" w:hAnsi="仿宋_GB2312" w:cs="仿宋_GB2312" w:eastAsia="仿宋_GB2312"/>
              </w:rPr>
              <w:t>法定代表人直接参加磋商的，须提供法定代表人证明书，法定代表人授权代表参加磋商的，须提供法定代表人授权书，供应商需在项目电子化交易系统中按要求上传相应证明文件并进行电子签章;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在信用中国网站（www.creditchina.gov.cn）不得被列入“失信被执行人查询”、不得被列入“重大税收违法案件当事人名单（重大税收违法失信主体名单），在中国政府采购网网站（www.ccgp.gov.cn）不得被列入“政府采购严重违法失信行为记录名单”并按照汉财办采管[2024]20号文件通知要求，提供《汉中市政府采购供应商资格承诺函》； 若未提供资格信用承诺函的，应当提供相应的证明材料（1、具有良好的商业信誉和健全的财务会计制度：①提供2023年度或2024年度经审计财务报告（包括四表一注，即资产负债表、利润表、现金流量表、所有者权益变动表及其附注），且无反对意见；事业法人提供部门决算报告；/②在磋商日期前六个月内其基本开户银行出具的资信证明（附《基本存款账户信息》或《银行开户许可证》复印件）；/③财政部门认可的政府采购专业担保机构出具的磋商担保函；以上三种形式的资料提供任何一种即可。2、具有履行合同所必需的设备和专业技术能力：提供声明文件。3、具有依法缴纳税收的良好记录：①提供缴费所属日期为磋商响应截止时间前12个月内任一月份（磋商响应截止时间当月不计入）的增值税或所得税缴费凭据或税务机关出具的完税证明/②在法规范围内不需提供的应出具书面说明和证明文件；以上两种形式的资料提供任何一种即可。4、具有依法缴纳社会保障资金的良好记录：①提供缴费所属日期为磋商响应截止时间前12个月内任一月份（磋商响应截止时间当月不计入）的缴费凭据或社保机关出具的缴费证明/②在法规范围内不需提供的应出具书面说明和证明文件；以上两种形式的资料提供任何一种即可。 5、参加政府采购活动前3年内在经营活动中没有重大违法记录：提供声明文件。备注：供应商需在项目电子化交易系统中按要求上传相应证明文件并进行电子签章）;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供应商须具有由国家行政主管部门颁发的测绘乙级及以上资质（须包含摄影测量与遥感专业）;</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磋商响应文件是否按照竞争性磋商文件要求的格式编写； 磋商响应文件内容是否有重大缺漏项。</w:t>
            </w:r>
          </w:p>
        </w:tc>
        <w:tc>
          <w:tcPr>
            <w:tcW w:type="dxa" w:w="1661"/>
          </w:tcPr>
          <w:p>
            <w:pPr>
              <w:pStyle w:val="null3"/>
            </w:pPr>
            <w:r>
              <w:rPr>
                <w:rFonts w:ascii="仿宋_GB2312" w:hAnsi="仿宋_GB2312" w:cs="仿宋_GB2312" w:eastAsia="仿宋_GB2312"/>
              </w:rPr>
              <w:t>响应文件封面 资格证明文件 中小企业声明函 残疾人福利性单位声明函 商务应答表 服务方案 服务内容及服务要求应答表 标的清单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磋商响应文件的签署、加盖印章是否有效；提供的 各种证明文件、数据、资料是否有效。</w:t>
            </w:r>
          </w:p>
        </w:tc>
        <w:tc>
          <w:tcPr>
            <w:tcW w:type="dxa" w:w="1661"/>
          </w:tcPr>
          <w:p>
            <w:pPr>
              <w:pStyle w:val="null3"/>
            </w:pPr>
            <w:r>
              <w:rPr>
                <w:rFonts w:ascii="仿宋_GB2312" w:hAnsi="仿宋_GB2312" w:cs="仿宋_GB2312" w:eastAsia="仿宋_GB2312"/>
              </w:rPr>
              <w:t>响应文件封面 资格证明文件 中小企业声明函 残疾人福利性单位声明函 商务应答表 服务方案 服务内容及服务要求应答表 标的清单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① 响应报价是否超过采购预算；② 响应报价有效期是否符合竞争性磋商文件的要求；③ 响应文件内容是否符合国家法律法规，没有重大偏离；④对竞争性磋商文件中规定的要求是否做出了实质性响应。</w:t>
            </w:r>
          </w:p>
        </w:tc>
        <w:tc>
          <w:tcPr>
            <w:tcW w:type="dxa" w:w="1661"/>
          </w:tcPr>
          <w:p>
            <w:pPr>
              <w:pStyle w:val="null3"/>
            </w:pPr>
            <w:r>
              <w:rPr>
                <w:rFonts w:ascii="仿宋_GB2312" w:hAnsi="仿宋_GB2312" w:cs="仿宋_GB2312" w:eastAsia="仿宋_GB2312"/>
              </w:rPr>
              <w:t>响应文件封面 资格证明文件 中小企业声明函 残疾人福利性单位声明函 商务应答表 服务方案 陕西省政府采购供应商拒绝政府采购领域商业贿赂承诺书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1.对本项目的实施背景、工作目的、目标及内容解读到位、理解全面、深入的，计15分； 2.对本项目的实施背景、工作目的、目标及内容解读较到位，较全面、较深入的，计12分； 3.对本项目内容解读较到位、但不够全面、深入的，计8分； 4.对本项目的实施背景、工作目的、目标及内容理解不到位、不全面的，计3分； 5.未提供不计分。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针对本项目编制服务方案。 1.服务方案及服务要求响应涵盖内容完整、合理且针对性、可行性强的，计15分； 2.服务方案及服务要求响应涵盖内容完整、基本合理，能基本满足项目实施的，计12分； 3.服务方案及服务要求响应内容基本完整、基本合理，项目实施难度大的，计8分； 4.服务方案及服务要求响应内容不完整、不合理，项目难以实施的，计3分； 5.未提供不计分。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重难点分析及合理化建议</w:t>
            </w:r>
          </w:p>
        </w:tc>
        <w:tc>
          <w:tcPr>
            <w:tcW w:type="dxa" w:w="2492"/>
          </w:tcPr>
          <w:p>
            <w:pPr>
              <w:pStyle w:val="null3"/>
            </w:pPr>
            <w:r>
              <w:rPr>
                <w:rFonts w:ascii="仿宋_GB2312" w:hAnsi="仿宋_GB2312" w:cs="仿宋_GB2312" w:eastAsia="仿宋_GB2312"/>
              </w:rPr>
              <w:t>针对本项目编制重难点技术问题分析和建议。 1.重难点分析准确，思路清晰合理，建议具有针对性的，计15分； 2.重难点分析基本准确，思路较清晰合理，建议具有针对性的，计12分； 3.重难点分析不准确，思路不够清晰，建议无针对性的，计8分； 4.有重难点分析和建议的，计3分； 5.未提供不计分。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项目配置项目负责人情况。 1.项目负责人（1名）具有林业类相关专业正高级职称计3分； 2.项目负责人（1名）具有林业类相关专业副高级职称计2分； 3.项目负责人（1名）具有林业类相关专业中级职称计1分； 4.未提供不计分。 注：以提供加盖单位公章的职称证书和2025年1月1日至今任意连续3个月由投标人单位缴纳的养老保险的社保证明（须提供养老保险缴纳证明材料）为得分依据。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项目团队配置的人员情况。应具有林业相关专业（不包括景观绿化类和加工利用类，下同）中级以上技术职称人员最少5人，若不符合则本项得0分。 在满足上述条件的基础上， 1.每额外增加1名林业工程专业高级技术职称人员加1分，本项最多加4分；2.每额外增加1名林业工程专业中级及以上技术职称人员加0.5分，本项最多加4分； 3.每额外增加1名林业工程专业初级及以上技术职称人员加0.5分，本项最多加2分。 注：以提供加盖单位公章的职称证书和2025年1月1日至今任意连续3个月由投标人单位缴纳的养老保险的社保证明（须提供养老保险缴纳证明材料）为得分依据。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针对本项目提供应急预案（包括但不限于应急培训和演练、应急通信、事后处理等内容）。 1.应急预案内容全面有针对性，人员设备已落实到位，计10分； 2.应急预案内容匮乏，人员设备已落实到位，计7分； 3.应急预案内容混乱，人员设备未落实到位，计3分； 4.未提供不计分。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针对本项目提供进度计划及保障措施（包括但不限于项目工作计划、项目进度安排、项目进度保障措施等内容）。 1.计划和措施科学合理，能充分体现工作效率及工作效果，确保工作优质、高效、如期完成的，计12分； 2.计划和措施较科学合理，基本体现工作效率及工作效果的，计8分； 3.计划和措施较科学合理，但未充分体现工作效率及工作效果的，计6分； 4.计划和措施不科学合理，无法体现工作效率及工作效果的，计3分； 5.未提供不计分。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供应商提供2022年1月1日至磋商截止日完成过同类项目的业绩，每提供一份计1分，最多计10分，未提供不计分。（以提供的加盖供应商公章的采购合同复印件为准）。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最后报价）为基准价，其价格分为满分（10分）。其他供应商的价格分统一按照下列公式计算：响应报价得分=(基准价／响应报价（最后报价）)×10分。 注：1、计算分数时四舍五入取小数点后两位；2、落实政府采购政策：详见文件。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陕西省政府采购供应商拒绝政府采购领域商业贿赂承诺书</w:t>
            </w:r>
          </w:p>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