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版本号：CG-JMYC-2025-07620251117002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沙河镇桐车村千万工程省级示范村“奖补资金”项目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CG-JMYC-2025-076</w:t>
      </w:r>
      <w:r>
        <w:br/>
      </w:r>
      <w:r>
        <w:br/>
      </w:r>
      <w:r>
        <w:br/>
      </w:r>
    </w:p>
    <w:p>
      <w:pPr>
        <w:pStyle w:val="null3"/>
        <w:jc w:val="center"/>
        <w:outlineLvl w:val="2"/>
      </w:pPr>
      <w:r>
        <w:rPr>
          <w:rFonts w:ascii="仿宋_GB2312" w:hAnsi="仿宋_GB2312" w:cs="仿宋_GB2312" w:eastAsia="仿宋_GB2312"/>
          <w:sz w:val="28"/>
          <w:b/>
        </w:rPr>
        <w:t>西乡县沙河镇人民政府</w:t>
      </w:r>
    </w:p>
    <w:p>
      <w:pPr>
        <w:pStyle w:val="null3"/>
        <w:jc w:val="center"/>
        <w:outlineLvl w:val="2"/>
      </w:pPr>
      <w:r>
        <w:rPr>
          <w:rFonts w:ascii="仿宋_GB2312" w:hAnsi="仿宋_GB2312" w:cs="仿宋_GB2312" w:eastAsia="仿宋_GB2312"/>
          <w:sz w:val="28"/>
          <w:b/>
        </w:rPr>
        <w:t>陕西金沐烨城项目管理有限公司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陕西金沐烨城项目管理有限公司</w:t>
      </w:r>
      <w:r>
        <w:rPr>
          <w:rFonts w:ascii="仿宋_GB2312" w:hAnsi="仿宋_GB2312" w:cs="仿宋_GB2312" w:eastAsia="仿宋_GB2312"/>
        </w:rPr>
        <w:t>（以下简称“代理机构”）受</w:t>
      </w:r>
      <w:r>
        <w:rPr>
          <w:rFonts w:ascii="仿宋_GB2312" w:hAnsi="仿宋_GB2312" w:cs="仿宋_GB2312" w:eastAsia="仿宋_GB2312"/>
        </w:rPr>
        <w:t>西乡县沙河镇人民政府</w:t>
      </w:r>
      <w:r>
        <w:rPr>
          <w:rFonts w:ascii="仿宋_GB2312" w:hAnsi="仿宋_GB2312" w:cs="仿宋_GB2312" w:eastAsia="仿宋_GB2312"/>
        </w:rPr>
        <w:t>委托，拟对</w:t>
      </w:r>
      <w:r>
        <w:rPr>
          <w:rFonts w:ascii="仿宋_GB2312" w:hAnsi="仿宋_GB2312" w:cs="仿宋_GB2312" w:eastAsia="仿宋_GB2312"/>
        </w:rPr>
        <w:t>沙河镇桐车村千万工程省级示范村“奖补资金”项目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CG-JMYC-2025-076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沙河镇桐车村千万工程省级示范村“奖补资金”项目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建设地点位于西乡县沙河镇桐车村。主要建设内容为：道路拓宽1100.91m；砌筑毛石挡墙420.59m；安装成品围栏340m；砌筑鹅卵石排水沟120m；定制柴火架12套；购置安装垃圾桶250个；安装智能快递柜；购置安装成品木屋2座；栽植乔木花卉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采购包1（沙河镇桐车村千万工程省级示范村“奖补资金”项目）：属于专门面向中小企业采购。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事业法人、其他组织或自然人，提供营业执照（事业单位须事业单位法人证、组织机构代码证等证明文件；其他组织应提供合法证明文件、自然人提供身份证明文件）；</w:t>
      </w:r>
    </w:p>
    <w:p>
      <w:pPr>
        <w:pStyle w:val="null3"/>
      </w:pPr>
      <w:r>
        <w:rPr>
          <w:rFonts w:ascii="仿宋_GB2312" w:hAnsi="仿宋_GB2312" w:cs="仿宋_GB2312" w:eastAsia="仿宋_GB2312"/>
        </w:rPr>
        <w:t>2、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供应商未列入在信用中国网站“失信被执行人”、“重大税收违法案件当事人名单”中（www.creditchina.gov.cn），也未列入中国政府采购网“政府采购严重违法失信行为记录名单”中（www.ccgp.gov.cn），按照汉财办采管[2024]20号文件要求，提供《汉中市政府采购供应商资格承诺函》；</w:t>
      </w:r>
    </w:p>
    <w:p>
      <w:pPr>
        <w:pStyle w:val="null3"/>
      </w:pPr>
      <w:r>
        <w:rPr>
          <w:rFonts w:ascii="仿宋_GB2312" w:hAnsi="仿宋_GB2312" w:cs="仿宋_GB2312" w:eastAsia="仿宋_GB2312"/>
        </w:rPr>
        <w:t>3、供应商资质要求：供应商具有市政公用工程施工总承包三级以上（含三级）资质，具有有效的安全生产许可证；</w:t>
      </w:r>
    </w:p>
    <w:p>
      <w:pPr>
        <w:pStyle w:val="null3"/>
      </w:pPr>
      <w:r>
        <w:rPr>
          <w:rFonts w:ascii="仿宋_GB2312" w:hAnsi="仿宋_GB2312" w:cs="仿宋_GB2312" w:eastAsia="仿宋_GB2312"/>
        </w:rPr>
        <w:t>4、拟派项目负责人：拟派项目负责人须具有市政公用工程专业注册建造师二级（含二级）以上资格和安全生产考核合格B证，且无在建项目；</w:t>
      </w:r>
    </w:p>
    <w:p>
      <w:pPr>
        <w:pStyle w:val="null3"/>
      </w:pPr>
      <w:r>
        <w:rPr>
          <w:rFonts w:ascii="仿宋_GB2312" w:hAnsi="仿宋_GB2312" w:cs="仿宋_GB2312" w:eastAsia="仿宋_GB2312"/>
        </w:rPr>
        <w:t>5、磋商代表要求：供应商应授权合法的人员参加磋商，其中法定代表人直接参加的，须出具法定代表人身份证明书及法人身份证；授权代表参加的，须出具法定代表人授权书及被授权人身份证；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西乡县沙河镇人民政府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西乡县沙河镇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0916-6366358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陕西金沐烨城项目管理有限公司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陕西省汉中市汉台区汉中路街道办事处南关正街汉上第一街12幢办公楼19层1-4室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18392621855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采购包1：965,584.21元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开户名称：陕西金沐烨城项目管理有限公司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银行账号：1033 1398 3701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说明：签订合同前，成交供应商以银行转账或保函形式按照成交金额的3%向采购人交纳履约保证金。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招标代理服务收费管理暂行办法》计价[2002]1980号和《国家发展改革委员会办公厅关于招标代理服务收费有关问题的通知》（发改办价格〔2003〕857号）文件标准计算。2、缴费采用银行转账方式一次性交纳。 开户名称：陕西金沐烨城项目管理有限公司 开户银行：中国工商银行股份有限公司汉中北团结街支行 银行账号：2606050309200192113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西乡县沙河镇人民政府</w:t>
      </w:r>
      <w:r>
        <w:rPr>
          <w:rFonts w:ascii="仿宋_GB2312" w:hAnsi="仿宋_GB2312" w:cs="仿宋_GB2312" w:eastAsia="仿宋_GB2312"/>
        </w:rPr>
        <w:t>和</w:t>
      </w:r>
      <w:r>
        <w:rPr>
          <w:rFonts w:ascii="仿宋_GB2312" w:hAnsi="仿宋_GB2312" w:cs="仿宋_GB2312" w:eastAsia="仿宋_GB2312"/>
        </w:rPr>
        <w:t>陕西金沐烨城项目管理有限公司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西乡县沙河镇人民政府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陕西金沐烨城项目管理有限公司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西乡县沙河镇人民政府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陕西金沐烨城项目管理有限公司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联系人：陈强</w:t>
      </w:r>
    </w:p>
    <w:p>
      <w:pPr>
        <w:pStyle w:val="null3"/>
      </w:pPr>
      <w:r>
        <w:rPr>
          <w:rFonts w:ascii="仿宋_GB2312" w:hAnsi="仿宋_GB2312" w:cs="仿宋_GB2312" w:eastAsia="仿宋_GB2312"/>
        </w:rPr>
        <w:t>联系电话：18392621855</w:t>
      </w:r>
    </w:p>
    <w:p>
      <w:pPr>
        <w:pStyle w:val="null3"/>
      </w:pPr>
      <w:r>
        <w:rPr>
          <w:rFonts w:ascii="仿宋_GB2312" w:hAnsi="仿宋_GB2312" w:cs="仿宋_GB2312" w:eastAsia="仿宋_GB2312"/>
        </w:rPr>
        <w:t>地址：陕西省汉中市汉台区南关正街汉上第一街12号楼19层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965,584.21</w:t>
      </w:r>
    </w:p>
    <w:p>
      <w:pPr>
        <w:pStyle w:val="null3"/>
      </w:pPr>
      <w:r>
        <w:rPr>
          <w:rFonts w:ascii="仿宋_GB2312" w:hAnsi="仿宋_GB2312" w:cs="仿宋_GB2312" w:eastAsia="仿宋_GB2312"/>
        </w:rPr>
        <w:t>采购包最高限价（元）: 965,584.21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沙河镇桐车村千万工程省级示范村“奖补资金”项目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965,584.21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标的名称：沙河镇桐车村千万工程省级示范村“奖补资金”项目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r>
              <w:br/>
            </w:r>
            <w:r>
              <w:rPr>
                <w:rFonts w:ascii="仿宋_GB2312" w:hAnsi="仿宋_GB2312" w:cs="仿宋_GB2312" w:eastAsia="仿宋_GB2312"/>
              </w:rPr>
              <w:t xml:space="preserve"> 本工程建设地点位于西乡县沙河镇桐车村。主要建设内容为：道路拓宽1100.91m；砌筑毛石挡墙420.59m；安装成品围栏340m；砌筑鹅卵石排水沟120m；定制柴火架12套；购置安装垃圾桶250个；安装智能快递柜；购置安装成品木屋2座；栽植乔木花卉等。</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1、陕西省工程建设标准《建设工程工程量清单计价标准》DB61/T 5126-2025。</w:t>
            </w:r>
            <w:r>
              <w:br/>
            </w:r>
            <w:r>
              <w:rPr>
                <w:rFonts w:ascii="仿宋_GB2312" w:hAnsi="仿宋_GB2312" w:cs="仿宋_GB2312" w:eastAsia="仿宋_GB2312"/>
              </w:rPr>
              <w:t xml:space="preserve"> 2、陕西省工程建设标准《房屋建筑与装饰工程工程量计算标准》DB61/T 5129-2025、陕西省工程建设标准《通用安装工程工程量计算标准》。</w:t>
            </w:r>
            <w:r>
              <w:br/>
            </w:r>
            <w:r>
              <w:rPr>
                <w:rFonts w:ascii="仿宋_GB2312" w:hAnsi="仿宋_GB2312" w:cs="仿宋_GB2312" w:eastAsia="仿宋_GB2312"/>
              </w:rPr>
              <w:t xml:space="preserve"> 3、《陕西省建设工程费用规则》（2025）。</w:t>
            </w:r>
            <w:r>
              <w:br/>
            </w:r>
            <w:r>
              <w:rPr>
                <w:rFonts w:ascii="仿宋_GB2312" w:hAnsi="仿宋_GB2312" w:cs="仿宋_GB2312" w:eastAsia="仿宋_GB2312"/>
              </w:rPr>
              <w:t xml:space="preserve"> 4、《陕西省房屋建筑与装饰工程消耗量定额》（2025）、《陕西省通用安装工程消耗量定额》（2025）。</w:t>
            </w:r>
            <w:r>
              <w:br/>
            </w:r>
            <w:r>
              <w:rPr>
                <w:rFonts w:ascii="仿宋_GB2312" w:hAnsi="仿宋_GB2312" w:cs="仿宋_GB2312" w:eastAsia="仿宋_GB2312"/>
              </w:rPr>
              <w:t xml:space="preserve"> 5、《陕西省房屋建筑与装饰工程基价表》(2025)、《陕西省通用安装工程基价表》(2025)。</w:t>
            </w:r>
            <w:r>
              <w:br/>
            </w:r>
            <w:r>
              <w:rPr>
                <w:rFonts w:ascii="仿宋_GB2312" w:hAnsi="仿宋_GB2312" w:cs="仿宋_GB2312" w:eastAsia="仿宋_GB2312"/>
              </w:rPr>
              <w:t xml:space="preserve"> 6、《陕西省建设工程施工机械台班费用定额》（2025）、《陕西省建设工程施工仪器仪表台班费用定额》（2025）。</w:t>
            </w:r>
            <w:r>
              <w:br/>
            </w:r>
            <w:r>
              <w:rPr>
                <w:rFonts w:ascii="仿宋_GB2312" w:hAnsi="仿宋_GB2312" w:cs="仿宋_GB2312" w:eastAsia="仿宋_GB2312"/>
              </w:rPr>
              <w:t xml:space="preserve"> 7、材料价依据《汉中市建设工程信息》2025年第9期，部分材料价参考市场价。</w:t>
            </w:r>
            <w:r>
              <w:br/>
            </w:r>
            <w:r>
              <w:rPr>
                <w:rFonts w:ascii="仿宋_GB2312" w:hAnsi="仿宋_GB2312" w:cs="仿宋_GB2312" w:eastAsia="仿宋_GB2312"/>
              </w:rPr>
              <w:t xml:space="preserve"> 三、其他有关说明：</w:t>
            </w:r>
            <w:r>
              <w:br/>
            </w:r>
            <w:r>
              <w:rPr>
                <w:rFonts w:ascii="仿宋_GB2312" w:hAnsi="仿宋_GB2312" w:cs="仿宋_GB2312" w:eastAsia="仿宋_GB2312"/>
              </w:rPr>
              <w:t xml:space="preserve"> 1、成品木屋3000*4500mm综合单价暂按22000元/座计入；</w:t>
            </w:r>
            <w:r>
              <w:br/>
            </w:r>
            <w:r>
              <w:rPr>
                <w:rFonts w:ascii="仿宋_GB2312" w:hAnsi="仿宋_GB2312" w:cs="仿宋_GB2312" w:eastAsia="仿宋_GB2312"/>
              </w:rPr>
              <w:t xml:space="preserve"> 2、成品木屋4500*5100mm综合单价暂按24000元/座计入。</w:t>
            </w:r>
            <w:r>
              <w:br/>
            </w:r>
            <w:r>
              <w:rPr>
                <w:rFonts w:ascii="仿宋_GB2312" w:hAnsi="仿宋_GB2312" w:cs="仿宋_GB2312" w:eastAsia="仿宋_GB2312"/>
              </w:rPr>
              <w:t xml:space="preserve"> 四、工    期： 60天</w:t>
            </w:r>
            <w:r>
              <w:br/>
            </w:r>
            <w:r>
              <w:rPr>
                <w:rFonts w:ascii="仿宋_GB2312" w:hAnsi="仿宋_GB2312" w:cs="仿宋_GB2312" w:eastAsia="仿宋_GB2312"/>
              </w:rPr>
              <w:t xml:space="preserve"> 五、工程质量：合   格</w:t>
            </w:r>
            <w:r>
              <w:br/>
            </w:r>
            <w:r>
              <w:rPr>
                <w:rFonts w:ascii="仿宋_GB2312" w:hAnsi="仿宋_GB2312" w:cs="仿宋_GB2312" w:eastAsia="仿宋_GB2312"/>
              </w:rPr>
              <w:t xml:space="preserve"> 六、计价软件：广联达云计价平台GCCP7.0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事业法人、其他组织或自然人，提供营业执照（事业单位须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在信用中国网站“失信被执行人”、“重大税收违法案件当事人名单”中（www.creditchina.gov.cn），也未列入中国政府采购网“政府采购严重违法失信行为记录名单”中（www.ccgp.gov.cn），按照汉财办采管[2024]20号文件要求，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供应商具有市政公用工程施工总承包三级以上（含三级）资质，具有有效的安全生产许可证；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拟派项目负责人须具有市政公用工程专业注册建造师二级（含二级）以上资格和安全生产考核合格B证，且无在建项目；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磋商代表要求</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供应商应授权合法的人员参加磋商，其中法定代表人直接参加的，须出具法定代表人身份证明书及法人身份证；授权代表参加的，须出具法定代表人授权书及被授权人身份证；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磋商响应文件按照磋商文件要求的格式编写，内容无重大缺漏项。</w:t>
            </w:r>
          </w:p>
        </w:tc>
        <w:tc>
          <w:tcPr>
            <w:tcW w:type="dxa" w:w="1661"/>
          </w:tcPr>
          <w:p>
            <w:pPr>
              <w:pStyle w:val="null3"/>
            </w:pPr>
            <w:r>
              <w:rPr>
                <w:rFonts w:ascii="仿宋_GB2312" w:hAnsi="仿宋_GB2312" w:cs="仿宋_GB2312" w:eastAsia="仿宋_GB2312"/>
              </w:rPr>
              <w:t>项目经理和主要技术管理人员配置.docx 技术方案.docx 已标价工程量清单 磋商保证金.docx 中小企业声明函 拟派项目经理情况表.docx 技术服务合同条款及其他商务要求应答表 资格证明文件.docx 响应文件封面 类似业绩情况表.docx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项目经理和主要技术管理人员配置.docx 技术方案.docx 已标价工程量清单 磋商保证金.docx 中小企业声明函 拟派项目经理情况表.docx 技术服务合同条款及其他商务要求应答表 资格证明文件.docx 类似业绩情况表.docx 响应文件封面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磋商报价未超过招标最高限价或采购预算。</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60天。</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磋商保证金符合采购文件要求。</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符合国家现行有关施工质量验收规范“合格”标准。</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拟派项目经理具有高级职称的得3分；具有中级职称的得2分；具有初级职称的得1分。（须提供项目经理身份证及职称证书扫描件，未提供相关证明材料不得分。）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拟派项目经理情况表.docx</w:t>
            </w:r>
          </w:p>
        </w:tc>
      </w:tr>
      <w:tr>
        <w:tc>
          <w:tcPr>
            <w:tcW w:type="dxa" w:w="831"/>
            <w:vMerge/>
          </w:tcPr>
          <w:p/>
        </w:tc>
        <w:tc>
          <w:tcPr>
            <w:tcW w:type="dxa" w:w="1661"/>
          </w:tcPr>
          <w:p>
            <w:pPr>
              <w:pStyle w:val="null3"/>
            </w:pPr>
            <w:r>
              <w:rPr>
                <w:rFonts w:ascii="仿宋_GB2312" w:hAnsi="仿宋_GB2312" w:cs="仿宋_GB2312" w:eastAsia="仿宋_GB2312"/>
              </w:rPr>
              <w:t>主要技术、管理人员配置</w:t>
            </w:r>
          </w:p>
        </w:tc>
        <w:tc>
          <w:tcPr>
            <w:tcW w:type="dxa" w:w="2492"/>
          </w:tcPr>
          <w:p>
            <w:pPr>
              <w:pStyle w:val="null3"/>
            </w:pPr>
            <w:r>
              <w:rPr>
                <w:rFonts w:ascii="仿宋_GB2312" w:hAnsi="仿宋_GB2312" w:cs="仿宋_GB2312" w:eastAsia="仿宋_GB2312"/>
              </w:rPr>
              <w:t>供应商每提供1名拟派主要技术管理人员相关证明材料扫描件，得1分，满分5分；（证明材料应提供施工员、安全员、质量员、材料员、资料员的身份证、资格证书的扫描件，未提供证明材料，该人员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项目经理和主要技术管理人员配置.docx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提供2022年至今的类似项目业绩（以中标通知书和合同为准），每提供1个得2.5分，最高得5分；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类似业绩情况表.docx</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施工方案科学合理、可行性强、细节考虑全面并有针对性，技术措施完善得12分；施工方案合理、可行强、有一定的针对性，技术措施基本完善得9分；施工方案合理、基本可行、针对性一般，技术措施基本完善得6分；施工方案基本合理、可行性差，技术措施欠缺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质量保证措施完善、合理可行得9分；质量保证措施基本完善、合理可行得6分；质量保证措施欠缺、无法保证工程质量得3分；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安全文明施工保证体系与措施</w:t>
            </w:r>
          </w:p>
        </w:tc>
        <w:tc>
          <w:tcPr>
            <w:tcW w:type="dxa" w:w="2492"/>
          </w:tcPr>
          <w:p>
            <w:pPr>
              <w:pStyle w:val="null3"/>
            </w:pPr>
            <w:r>
              <w:rPr>
                <w:rFonts w:ascii="仿宋_GB2312" w:hAnsi="仿宋_GB2312" w:cs="仿宋_GB2312" w:eastAsia="仿宋_GB2312"/>
              </w:rPr>
              <w:t>安全文明施工保证体系与措施完善、合理可行得9分；安全文明施工保证体系与措施基本完善、合理得6分；安全文明施工保证体系与措施欠缺、合理性差得3分；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施工进度及工期保证措施</w:t>
            </w:r>
          </w:p>
        </w:tc>
        <w:tc>
          <w:tcPr>
            <w:tcW w:type="dxa" w:w="2492"/>
          </w:tcPr>
          <w:p>
            <w:pPr>
              <w:pStyle w:val="null3"/>
            </w:pPr>
            <w:r>
              <w:rPr>
                <w:rFonts w:ascii="仿宋_GB2312" w:hAnsi="仿宋_GB2312" w:cs="仿宋_GB2312" w:eastAsia="仿宋_GB2312"/>
              </w:rPr>
              <w:t>施工进度及工期保证措施完善、合理可行得9分；施工进度及工期保证措施基本完善、基本保证按期完工得6分；施工进度及工期保证措施欠缺、无法保证按期完工得3分；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劳动力及主要施工设备配置</w:t>
            </w:r>
          </w:p>
        </w:tc>
        <w:tc>
          <w:tcPr>
            <w:tcW w:type="dxa" w:w="2492"/>
          </w:tcPr>
          <w:p>
            <w:pPr>
              <w:pStyle w:val="null3"/>
            </w:pPr>
            <w:r>
              <w:rPr>
                <w:rFonts w:ascii="仿宋_GB2312" w:hAnsi="仿宋_GB2312" w:cs="仿宋_GB2312" w:eastAsia="仿宋_GB2312"/>
              </w:rPr>
              <w:t>根据供应商提供的主要机械设备配备、劳动力配置、联动保障机制方案等，进行综合评审。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新技术新工艺</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供应商针对本项目需求，提出有利于项目实施的合理化建议，每提出一条得1分，最高得3分；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以各供应商满足磋商文件要求且最后磋商报价最低的为磋商基准价，其价格分为满分。其他供应商的价格分统一按照下列公式计算： 价格分＝（磋商基准价/最后磋商报价）×35（得分保留两位小数）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详见附件：项目经理和主要技术管理人员配置.docx</w:t>
      </w:r>
    </w:p>
    <w:p>
      <w:pPr>
        <w:pStyle w:val="null3"/>
        <w:ind w:firstLine="960"/>
      </w:pPr>
      <w:r>
        <w:rPr>
          <w:rFonts w:ascii="仿宋_GB2312" w:hAnsi="仿宋_GB2312" w:cs="仿宋_GB2312" w:eastAsia="仿宋_GB2312"/>
        </w:rPr>
        <w:t>详见附件：拟派项目经理情况表.docx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