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版本号：ZJHZ-ZC250054-820251117001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白勉峡镇树林坪村应急避险点改造工程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ZJHZ-ZC250054-8</w:t>
      </w:r>
      <w:r>
        <w:br/>
      </w:r>
      <w:r>
        <w:br/>
      </w:r>
      <w:r>
        <w:br/>
      </w:r>
    </w:p>
    <w:p>
      <w:pPr>
        <w:pStyle w:val="null3"/>
        <w:jc w:val="center"/>
        <w:outlineLvl w:val="2"/>
      </w:pPr>
      <w:r>
        <w:rPr>
          <w:rFonts w:ascii="仿宋_GB2312" w:hAnsi="仿宋_GB2312" w:cs="仿宋_GB2312" w:eastAsia="仿宋_GB2312"/>
          <w:sz w:val="28"/>
          <w:b/>
        </w:rPr>
        <w:t>西乡县库区移民工作办公室</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西乡县库区移民工作办公室</w:t>
      </w:r>
      <w:r>
        <w:rPr>
          <w:rFonts w:ascii="仿宋_GB2312" w:hAnsi="仿宋_GB2312" w:cs="仿宋_GB2312" w:eastAsia="仿宋_GB2312"/>
        </w:rPr>
        <w:t>委托，拟对</w:t>
      </w:r>
      <w:r>
        <w:rPr>
          <w:rFonts w:ascii="仿宋_GB2312" w:hAnsi="仿宋_GB2312" w:cs="仿宋_GB2312" w:eastAsia="仿宋_GB2312"/>
        </w:rPr>
        <w:t>白勉峡镇树林坪村应急避险点改造工程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ZJHZ-ZC250054-8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白勉峡镇树林坪村应急避险点改造工程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原有砖混建筑一、二面积280.71㎡，改造原有砖混建筑三面积158.12㎡，拆除原有简易厕所10.5m，新建一层砖混结构厕所面积为23.27㎡，檐口高度3m，新建砖砌围墙47m，硬化150mm厚C25混凝土地面122m，增设铁艺大门1道,新建C25排水沟75.4m(沟宽300mm，沟深300mm，混凝土篦子300mm*580mm厚度60mm)（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采购包1（白勉峡镇树林坪村应急避险点改造工程）：属于专门面向中小企业采购。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3、供应商资质：供应商须具备建筑工程施工总承包三级以上（含三级）资质，且持有有效的安全生产许可证;</w:t>
      </w:r>
    </w:p>
    <w:p>
      <w:pPr>
        <w:pStyle w:val="null3"/>
      </w:pPr>
      <w:r>
        <w:rPr>
          <w:rFonts w:ascii="仿宋_GB2312" w:hAnsi="仿宋_GB2312" w:cs="仿宋_GB2312" w:eastAsia="仿宋_GB2312"/>
        </w:rPr>
        <w:t>4、项目经理资质：拟派项目负责人须具有建筑工程专业二级及以上注册建造师执业资格，并取得安全生产考核合格证书（B证），且无在建工程;</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西乡县库区移民工作办公室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西乡县西大街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0916-6221572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采购包1：629,277.02元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说明：合同签订后3日内按合同约定缴纳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西乡县库区移民工作办公室</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西乡县库区移民工作办公室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西乡县库区移民工作办公室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符合国家现行工程建设标准及项目需求清单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 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629,277.02</w:t>
      </w:r>
    </w:p>
    <w:p>
      <w:pPr>
        <w:pStyle w:val="null3"/>
      </w:pPr>
      <w:r>
        <w:rPr>
          <w:rFonts w:ascii="仿宋_GB2312" w:hAnsi="仿宋_GB2312" w:cs="仿宋_GB2312" w:eastAsia="仿宋_GB2312"/>
        </w:rPr>
        <w:t>采购包最高限价（元）: 629,277.02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建筑工程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629,277.02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（2）工期：90日历天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供应商须对照本项目《项目评审办法》，逐项响应全部技术及商务指标，附对应支撑材料并按评审顺序标注，确保无遗漏、符合要求、便核查。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供应商须具备建筑工程施工总承包三级以上（含三级）资质，且持有有效的安全生产许可证;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拟派项目负责人须具有建筑工程专业二级及以上注册建造师执业资格，并取得安全生产考核合格证书（B证），且无在建工程;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供应商针对本项目编制完善的施工部署，内容包含：①施工目标:成本目标、工期目标、质量目标②施工平面布置与安排：现场围挡及出入口管理、交通组织安排、消防安排、施工平面布置图。二、评审标准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供应商提供2022年9月起至今的类似业绩证明材料，时间以合同签订日期为准，（文件中附合同和中标通知书复印件），每提供一项上述业绩的得2分，最高得4分。不提供或缺项不得分。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