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版本号：ZJHZ-ZC250054-620251117001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城南街道五星村美丽家园建设项目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ZJHZ-ZC250054-6</w:t>
      </w:r>
      <w:r>
        <w:br/>
      </w:r>
      <w:r>
        <w:br/>
      </w:r>
      <w:r>
        <w:br/>
      </w:r>
    </w:p>
    <w:p>
      <w:pPr>
        <w:pStyle w:val="null3"/>
        <w:jc w:val="center"/>
        <w:outlineLvl w:val="2"/>
      </w:pPr>
      <w:r>
        <w:rPr>
          <w:rFonts w:ascii="仿宋_GB2312" w:hAnsi="仿宋_GB2312" w:cs="仿宋_GB2312" w:eastAsia="仿宋_GB2312"/>
          <w:sz w:val="28"/>
          <w:b/>
        </w:rPr>
        <w:t>西乡县库区移民工作办公室</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西乡县库区移民工作办公室</w:t>
      </w:r>
      <w:r>
        <w:rPr>
          <w:rFonts w:ascii="仿宋_GB2312" w:hAnsi="仿宋_GB2312" w:cs="仿宋_GB2312" w:eastAsia="仿宋_GB2312"/>
        </w:rPr>
        <w:t>委托，拟对</w:t>
      </w:r>
      <w:r>
        <w:rPr>
          <w:rFonts w:ascii="仿宋_GB2312" w:hAnsi="仿宋_GB2312" w:cs="仿宋_GB2312" w:eastAsia="仿宋_GB2312"/>
        </w:rPr>
        <w:t>城南街道五星村美丽家园建设项目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城南街道五星村美丽家园建设项目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装9m高120W太阳能路灯16套、100W抱箍式市政路灯21套；安装成品C25混凝土路沿石65.5m；原公路道沿饰面新刷防撞反光漆928m;原18cm厚C30混凝土道路路面破损修复118.4m；硬化路面街接处空地258m(18cm厚C30混凝土)；新建3.5m宽18cm厚C30混凝土道路380m；新建2m宽18cm厚C30混凝土人行步道41.9m;2.5m宽18cm厚C30混凝土人行步道121m；砌筑0.25m高120青砖花池490.5m；砌筑0.3m高1.2m长青砖花池287.7m；0.3m高干砌石挡墙27.3m；1m高干砌石挡墙27.9m；0.8m高C25混凝土挡土墙36.8m；0.95m高M7.5浆砌石直立式挡土墙长18.6m(顶宽0.5m，底宽0.75m)；1.65m高M7.5浆砌石直立式挡土墙长17.9m(顶宽0.5m，底宽0.95m)；2.1m高M7.5浆砌石直立式挡土墙长5.5m(顶宽0.6m，底宽1.3m)；2.5m高M7.5浆砌石直立式挡土墙长10.4m(顶宽0.6m，底宽1.3m)；3.0-3.9m高M7.5浆砌石直立式挡土墙长10.3m(顶宽0.6m，底宽1.85m)；φ30cm PE波纹管地埋38.3m;φ60cm成品C30混凝土圆管预埋90m(共9处)；D30矩形C25混凝土排水渠30cm*30cm,长18.3m;D40矩形C25混凝土排水40cm*40cm,长254m;D50-A矩形C25混凝土排水渠50cm*50cm,长407.9m;D50-B矩形C25混凝土排水渠50cm*80cm,长40.5m;1.2*1.2*0.8mC25砼沉砂池3处;D70cm圆形砖砌检查井2座:1.7*1.5*1.5mC25砼集水坑1座；0.45*0.45*0.3m雨水口2处;新增28mC30混凝土错车道1处;安装路测波形安全护栏152m；单柱式交通安全警示标志牌3套（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采购包1（城南街道五星村美丽家园建设项目）：属于专门面向中小企业采购。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3、供应商资质：供应商须具备市政公用工程施工总承包三级以上（含三级）资质，且持有有效的安全生产许可证;</w:t>
      </w:r>
    </w:p>
    <w:p>
      <w:pPr>
        <w:pStyle w:val="null3"/>
      </w:pPr>
      <w:r>
        <w:rPr>
          <w:rFonts w:ascii="仿宋_GB2312" w:hAnsi="仿宋_GB2312" w:cs="仿宋_GB2312" w:eastAsia="仿宋_GB2312"/>
        </w:rPr>
        <w:t>4、项目经理资质：拟派项目负责人须具有市政公用工程专业二级及以上注册建造师执业资格，并取得安全生产考核合格证书（B证），且无在建工程;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西乡县库区移民工作办公室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西乡县西大街82号县政府院内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采购包1：1,547,887.50元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西乡县库区移民工作办公室</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西乡县库区移民工作办公室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西乡县库区移民工作办公室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符合国家现行工程建设标准及项目需求清单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1,547,887.50</w:t>
      </w:r>
    </w:p>
    <w:p>
      <w:pPr>
        <w:pStyle w:val="null3"/>
      </w:pPr>
      <w:r>
        <w:rPr>
          <w:rFonts w:ascii="仿宋_GB2312" w:hAnsi="仿宋_GB2312" w:cs="仿宋_GB2312" w:eastAsia="仿宋_GB2312"/>
        </w:rPr>
        <w:t>采购包最高限价（元）: 1,547,887.50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市政工程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1,547,887.50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（2）工期：90日历天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供应商须具备市政公用工程施工总承包三级以上（含三级）资质，且持有有效的安全生产许可证;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拟派项目负责人须具有市政公用工程专业二级及以上注册建造师执业资格，并取得安全生产考核合格证书（B证），且无在建工程;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供应商针对本项目编制完善的施工部署，内容包含：①施工目标:成本目标、工期目标、质量目标②施工平面布置与安排：现场围挡及出入口管理、交通组织安排、消防安排、施工平面布置图。二、评审标准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供应商提供2022年9月起至今的类似业绩证明材料，时间以合同签订日期为准，（文件中附合同和中标通知书复印件），每提供一项上述业绩的得2分，最高得4分。不提供或缺项不得分。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