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版本号：JXRZ-HC-2025-15520251129001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西乡县2024年度国土变更调查项目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JXRZ-HC-2025-155</w:t>
      </w:r>
      <w:r>
        <w:br/>
      </w:r>
      <w:r>
        <w:br/>
      </w:r>
      <w:r>
        <w:br/>
      </w:r>
    </w:p>
    <w:p>
      <w:pPr>
        <w:pStyle w:val="null3"/>
        <w:jc w:val="center"/>
        <w:outlineLvl w:val="2"/>
      </w:pPr>
      <w:r>
        <w:rPr>
          <w:rFonts w:ascii="仿宋_GB2312" w:hAnsi="仿宋_GB2312" w:cs="仿宋_GB2312" w:eastAsia="仿宋_GB2312"/>
          <w:sz w:val="28"/>
          <w:b/>
        </w:rPr>
        <w:t>西乡县自然资源局(不动产登记局)</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西乡县自然资源局(不动产登记局)</w:t>
      </w:r>
      <w:r>
        <w:rPr>
          <w:rFonts w:ascii="仿宋_GB2312" w:hAnsi="仿宋_GB2312" w:cs="仿宋_GB2312" w:eastAsia="仿宋_GB2312"/>
        </w:rPr>
        <w:t>委托，拟对</w:t>
      </w:r>
      <w:r>
        <w:rPr>
          <w:rFonts w:ascii="仿宋_GB2312" w:hAnsi="仿宋_GB2312" w:cs="仿宋_GB2312" w:eastAsia="仿宋_GB2312"/>
        </w:rPr>
        <w:t>西乡县2024年度国土变更调查项目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JXRZ-HC-2025-155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西乡县2024年度国土变更调查项目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西乡县2024年度国土变更调查项目1项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采购包1（西乡县2024年度国土变更调查项目）：属于专门面向中小企业采购。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2、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4、供应商资质：供应商须具备行政主管部门颁发的测绘乙级（含乙级）及以上资质证书，拟派项目负责人具有相关专业中级及以上职称；</w:t>
      </w:r>
    </w:p>
    <w:p>
      <w:pPr>
        <w:pStyle w:val="null3"/>
      </w:pPr>
      <w:r>
        <w:rPr>
          <w:rFonts w:ascii="仿宋_GB2312" w:hAnsi="仿宋_GB2312" w:cs="仿宋_GB2312" w:eastAsia="仿宋_GB2312"/>
        </w:rPr>
        <w:t>5、供应商控股关系：单位负责人为同一人或者存在直接控股、管理关系的不同供应商，不得参加同一合同项下的政府采购活动。（提供加盖公章的《声明函》）。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西乡县自然资源局(不动产登记局)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西乡县金牛路北段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西乡县自然资源局(不动产登记局)</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西乡县自然资源局(不动产登记局)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西乡县自然资源局(不动产登记局)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西乡县2024年度国土变更调查项目1项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 xml:space="preserve">   （一）项目概况</w:t>
            </w:r>
          </w:p>
          <w:p>
            <w:pPr>
              <w:pStyle w:val="null3"/>
              <w:ind w:firstLine="480"/>
              <w:jc w:val="both"/>
            </w:pPr>
            <w:r>
              <w:rPr>
                <w:rFonts w:ascii="仿宋_GB2312" w:hAnsi="仿宋_GB2312" w:cs="仿宋_GB2312" w:eastAsia="仿宋_GB2312"/>
                <w:sz w:val="24"/>
              </w:rPr>
              <w:t>自主变更图斑信息提取阶段，在国家下发图斑基础上</w:t>
            </w:r>
            <w:r>
              <w:rPr>
                <w:rFonts w:ascii="仿宋_GB2312" w:hAnsi="仿宋_GB2312" w:cs="仿宋_GB2312" w:eastAsia="仿宋_GB2312"/>
                <w:sz w:val="24"/>
              </w:rPr>
              <w:t>，</w:t>
            </w:r>
            <w:r>
              <w:rPr>
                <w:rFonts w:ascii="仿宋_GB2312" w:hAnsi="仿宋_GB2312" w:cs="仿宋_GB2312" w:eastAsia="仿宋_GB2312"/>
                <w:sz w:val="24"/>
              </w:rPr>
              <w:t>比对</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2024遥感影像</w:t>
            </w:r>
            <w:r>
              <w:rPr>
                <w:rFonts w:ascii="仿宋_GB2312" w:hAnsi="仿宋_GB2312" w:cs="仿宋_GB2312" w:eastAsia="仿宋_GB2312"/>
                <w:sz w:val="24"/>
              </w:rPr>
              <w:t>，</w:t>
            </w:r>
            <w:r>
              <w:rPr>
                <w:rFonts w:ascii="仿宋_GB2312" w:hAnsi="仿宋_GB2312" w:cs="仿宋_GB2312" w:eastAsia="仿宋_GB2312"/>
                <w:sz w:val="24"/>
              </w:rPr>
              <w:t>自主提取变化图斑，收集相关资料和数据，并整理分析</w:t>
            </w:r>
            <w:r>
              <w:rPr>
                <w:rFonts w:ascii="仿宋_GB2312" w:hAnsi="仿宋_GB2312" w:cs="仿宋_GB2312" w:eastAsia="仿宋_GB2312"/>
                <w:sz w:val="24"/>
              </w:rPr>
              <w:t>，</w:t>
            </w:r>
            <w:r>
              <w:rPr>
                <w:rFonts w:ascii="仿宋_GB2312" w:hAnsi="仿宋_GB2312" w:cs="仿宋_GB2312" w:eastAsia="仿宋_GB2312"/>
                <w:sz w:val="24"/>
              </w:rPr>
              <w:t>工作底图编制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外业调查及举证阶段</w:t>
            </w:r>
            <w:r>
              <w:rPr>
                <w:rFonts w:ascii="仿宋_GB2312" w:hAnsi="仿宋_GB2312" w:cs="仿宋_GB2312" w:eastAsia="仿宋_GB2312"/>
                <w:sz w:val="24"/>
              </w:rPr>
              <w:t>，</w:t>
            </w:r>
            <w:r>
              <w:rPr>
                <w:rFonts w:ascii="仿宋_GB2312" w:hAnsi="仿宋_GB2312" w:cs="仿宋_GB2312" w:eastAsia="仿宋_GB2312"/>
                <w:sz w:val="24"/>
              </w:rPr>
              <w:t>图斑个数为</w:t>
            </w:r>
            <w:r>
              <w:rPr>
                <w:rFonts w:ascii="仿宋_GB2312" w:hAnsi="仿宋_GB2312" w:cs="仿宋_GB2312" w:eastAsia="仿宋_GB2312"/>
                <w:sz w:val="24"/>
              </w:rPr>
              <w:t>5814个，其中包含</w:t>
            </w:r>
            <w:r>
              <w:rPr>
                <w:rFonts w:ascii="仿宋_GB2312" w:hAnsi="仿宋_GB2312" w:cs="仿宋_GB2312" w:eastAsia="仿宋_GB2312"/>
                <w:sz w:val="24"/>
              </w:rPr>
              <w:t>：</w:t>
            </w:r>
            <w:r>
              <w:rPr>
                <w:rFonts w:ascii="仿宋_GB2312" w:hAnsi="仿宋_GB2312" w:cs="仿宋_GB2312" w:eastAsia="仿宋_GB2312"/>
                <w:sz w:val="24"/>
              </w:rPr>
              <w:t>国家下发监测图斑，自主提取图斑</w:t>
            </w:r>
            <w:r>
              <w:rPr>
                <w:rFonts w:ascii="仿宋_GB2312" w:hAnsi="仿宋_GB2312" w:cs="仿宋_GB2312" w:eastAsia="仿宋_GB2312"/>
                <w:sz w:val="24"/>
              </w:rPr>
              <w:t>、</w:t>
            </w:r>
            <w:r>
              <w:rPr>
                <w:rFonts w:ascii="仿宋_GB2312" w:hAnsi="仿宋_GB2312" w:cs="仿宋_GB2312" w:eastAsia="仿宋_GB2312"/>
                <w:sz w:val="24"/>
              </w:rPr>
              <w:t>省级</w:t>
            </w:r>
            <w:r>
              <w:rPr>
                <w:rFonts w:ascii="仿宋_GB2312" w:hAnsi="仿宋_GB2312" w:cs="仿宋_GB2312" w:eastAsia="仿宋_GB2312"/>
                <w:sz w:val="24"/>
              </w:rPr>
              <w:t>核查提出的补充</w:t>
            </w:r>
            <w:r>
              <w:rPr>
                <w:rFonts w:ascii="仿宋_GB2312" w:hAnsi="仿宋_GB2312" w:cs="仿宋_GB2312" w:eastAsia="仿宋_GB2312"/>
                <w:sz w:val="24"/>
              </w:rPr>
              <w:t>举证</w:t>
            </w:r>
            <w:r>
              <w:rPr>
                <w:rFonts w:ascii="仿宋_GB2312" w:hAnsi="仿宋_GB2312" w:cs="仿宋_GB2312" w:eastAsia="仿宋_GB2312"/>
                <w:sz w:val="24"/>
              </w:rPr>
              <w:t>图斑</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变更图斑修改更新阶段</w:t>
            </w:r>
            <w:r>
              <w:rPr>
                <w:rFonts w:ascii="仿宋_GB2312" w:hAnsi="仿宋_GB2312" w:cs="仿宋_GB2312" w:eastAsia="仿宋_GB2312"/>
                <w:sz w:val="24"/>
              </w:rPr>
              <w:t>，</w:t>
            </w:r>
            <w:r>
              <w:rPr>
                <w:rFonts w:ascii="仿宋_GB2312" w:hAnsi="仿宋_GB2312" w:cs="仿宋_GB2312" w:eastAsia="仿宋_GB2312"/>
                <w:sz w:val="24"/>
              </w:rPr>
              <w:t>15批次日常变更图斑数据处理和报送</w:t>
            </w:r>
            <w:r>
              <w:rPr>
                <w:rFonts w:ascii="仿宋_GB2312" w:hAnsi="仿宋_GB2312" w:cs="仿宋_GB2312" w:eastAsia="仿宋_GB2312"/>
                <w:sz w:val="24"/>
              </w:rPr>
              <w:t>省级</w:t>
            </w:r>
            <w:r>
              <w:rPr>
                <w:rFonts w:ascii="仿宋_GB2312" w:hAnsi="仿宋_GB2312" w:cs="仿宋_GB2312" w:eastAsia="仿宋_GB2312"/>
                <w:sz w:val="24"/>
              </w:rPr>
              <w:t>，对日常变更图斑，年度举证图斑和关联图斑进行修改更新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林场</w:t>
            </w:r>
            <w:r>
              <w:rPr>
                <w:rFonts w:ascii="仿宋_GB2312" w:hAnsi="仿宋_GB2312" w:cs="仿宋_GB2312" w:eastAsia="仿宋_GB2312"/>
                <w:sz w:val="24"/>
              </w:rPr>
              <w:t>湿</w:t>
            </w:r>
            <w:r>
              <w:rPr>
                <w:rFonts w:ascii="仿宋_GB2312" w:hAnsi="仿宋_GB2312" w:cs="仿宋_GB2312" w:eastAsia="仿宋_GB2312"/>
                <w:sz w:val="24"/>
              </w:rPr>
              <w:t>荒不一致图斑纳入年度变更</w:t>
            </w:r>
            <w:r>
              <w:rPr>
                <w:rFonts w:ascii="仿宋_GB2312" w:hAnsi="仿宋_GB2312" w:cs="仿宋_GB2312" w:eastAsia="仿宋_GB2312"/>
                <w:sz w:val="24"/>
              </w:rPr>
              <w:t>，</w:t>
            </w:r>
            <w:r>
              <w:rPr>
                <w:rFonts w:ascii="仿宋_GB2312" w:hAnsi="仿宋_GB2312" w:cs="仿宋_GB2312" w:eastAsia="仿宋_GB2312"/>
                <w:sz w:val="24"/>
              </w:rPr>
              <w:t>林草</w:t>
            </w:r>
            <w:r>
              <w:rPr>
                <w:rFonts w:ascii="仿宋_GB2312" w:hAnsi="仿宋_GB2312" w:cs="仿宋_GB2312" w:eastAsia="仿宋_GB2312"/>
                <w:sz w:val="24"/>
              </w:rPr>
              <w:t>湿</w:t>
            </w:r>
            <w:r>
              <w:rPr>
                <w:rFonts w:ascii="仿宋_GB2312" w:hAnsi="仿宋_GB2312" w:cs="仿宋_GB2312" w:eastAsia="仿宋_GB2312"/>
                <w:sz w:val="24"/>
              </w:rPr>
              <w:t>荒普查地类对接不一致图斑</w:t>
            </w:r>
            <w:r>
              <w:rPr>
                <w:rFonts w:ascii="仿宋_GB2312" w:hAnsi="仿宋_GB2312" w:cs="仿宋_GB2312" w:eastAsia="仿宋_GB2312"/>
                <w:sz w:val="24"/>
              </w:rPr>
              <w:t>7115</w:t>
            </w:r>
            <w:r>
              <w:rPr>
                <w:rFonts w:ascii="仿宋_GB2312" w:hAnsi="仿宋_GB2312" w:cs="仿宋_GB2312" w:eastAsia="仿宋_GB2312"/>
                <w:sz w:val="24"/>
              </w:rPr>
              <w:t>个纳入年度变更数据库</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数据库建设阶段</w:t>
            </w:r>
            <w:r>
              <w:rPr>
                <w:rFonts w:ascii="仿宋_GB2312" w:hAnsi="仿宋_GB2312" w:cs="仿宋_GB2312" w:eastAsia="仿宋_GB2312"/>
                <w:sz w:val="24"/>
              </w:rPr>
              <w:t>，</w:t>
            </w:r>
            <w:r>
              <w:rPr>
                <w:rFonts w:ascii="仿宋_GB2312" w:hAnsi="仿宋_GB2312" w:cs="仿宋_GB2312" w:eastAsia="仿宋_GB2312"/>
                <w:sz w:val="24"/>
              </w:rPr>
              <w:t>对所有更新图斑纳入西乡县</w:t>
            </w:r>
            <w:r>
              <w:rPr>
                <w:rFonts w:ascii="仿宋_GB2312" w:hAnsi="仿宋_GB2312" w:cs="仿宋_GB2312" w:eastAsia="仿宋_GB2312"/>
                <w:sz w:val="24"/>
              </w:rPr>
              <w:t>2024年度</w:t>
            </w:r>
            <w:r>
              <w:rPr>
                <w:rFonts w:ascii="仿宋_GB2312" w:hAnsi="仿宋_GB2312" w:cs="仿宋_GB2312" w:eastAsia="仿宋_GB2312"/>
                <w:sz w:val="24"/>
              </w:rPr>
              <w:t>变更数据库</w:t>
            </w:r>
            <w:r>
              <w:rPr>
                <w:rFonts w:ascii="仿宋_GB2312" w:hAnsi="仿宋_GB2312" w:cs="仿宋_GB2312" w:eastAsia="仿宋_GB2312"/>
                <w:sz w:val="24"/>
              </w:rPr>
              <w:t>，</w:t>
            </w:r>
            <w:r>
              <w:rPr>
                <w:rFonts w:ascii="仿宋_GB2312" w:hAnsi="仿宋_GB2312" w:cs="仿宋_GB2312" w:eastAsia="仿宋_GB2312"/>
                <w:sz w:val="24"/>
              </w:rPr>
              <w:t>并通过省</w:t>
            </w:r>
            <w:r>
              <w:rPr>
                <w:rFonts w:ascii="仿宋_GB2312" w:hAnsi="仿宋_GB2312" w:cs="仿宋_GB2312" w:eastAsia="仿宋_GB2312"/>
                <w:sz w:val="24"/>
              </w:rPr>
              <w:t>、</w:t>
            </w:r>
            <w:r>
              <w:rPr>
                <w:rFonts w:ascii="仿宋_GB2312" w:hAnsi="仿宋_GB2312" w:cs="仿宋_GB2312" w:eastAsia="仿宋_GB2312"/>
                <w:sz w:val="24"/>
              </w:rPr>
              <w:t>部省检查合格</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数据成果汇总分析</w:t>
            </w:r>
            <w:r>
              <w:rPr>
                <w:rFonts w:ascii="仿宋_GB2312" w:hAnsi="仿宋_GB2312" w:cs="仿宋_GB2312" w:eastAsia="仿宋_GB2312"/>
                <w:sz w:val="24"/>
              </w:rPr>
              <w:t>、</w:t>
            </w:r>
            <w:r>
              <w:rPr>
                <w:rFonts w:ascii="仿宋_GB2312" w:hAnsi="仿宋_GB2312" w:cs="仿宋_GB2312" w:eastAsia="仿宋_GB2312"/>
                <w:sz w:val="24"/>
              </w:rPr>
              <w:t>编制报告阶段</w:t>
            </w:r>
            <w:r>
              <w:rPr>
                <w:rFonts w:ascii="仿宋_GB2312" w:hAnsi="仿宋_GB2312" w:cs="仿宋_GB2312" w:eastAsia="仿宋_GB2312"/>
                <w:sz w:val="24"/>
              </w:rPr>
              <w:t>，</w:t>
            </w:r>
            <w:r>
              <w:rPr>
                <w:rFonts w:ascii="仿宋_GB2312" w:hAnsi="仿宋_GB2312" w:cs="仿宋_GB2312" w:eastAsia="仿宋_GB2312"/>
                <w:sz w:val="24"/>
              </w:rPr>
              <w:t>形成数据汇总成果，编写土地利用现状分析报告，流量分析报告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土地利用现状图</w:t>
            </w:r>
            <w:r>
              <w:rPr>
                <w:rFonts w:ascii="仿宋_GB2312" w:hAnsi="仿宋_GB2312" w:cs="仿宋_GB2312" w:eastAsia="仿宋_GB2312"/>
                <w:sz w:val="24"/>
              </w:rPr>
              <w:t>件</w:t>
            </w:r>
            <w:r>
              <w:rPr>
                <w:rFonts w:ascii="仿宋_GB2312" w:hAnsi="仿宋_GB2312" w:cs="仿宋_GB2312" w:eastAsia="仿宋_GB2312"/>
                <w:sz w:val="24"/>
              </w:rPr>
              <w:t>更新，更新</w:t>
            </w:r>
            <w:r>
              <w:rPr>
                <w:rFonts w:ascii="仿宋_GB2312" w:hAnsi="仿宋_GB2312" w:cs="仿宋_GB2312" w:eastAsia="仿宋_GB2312"/>
                <w:sz w:val="24"/>
              </w:rPr>
              <w:t>1:5000标准分幅图</w:t>
            </w:r>
            <w:r>
              <w:rPr>
                <w:rFonts w:ascii="仿宋_GB2312" w:hAnsi="仿宋_GB2312" w:cs="仿宋_GB2312" w:eastAsia="仿宋_GB2312"/>
                <w:sz w:val="24"/>
              </w:rPr>
              <w:t>（</w:t>
            </w:r>
            <w:r>
              <w:rPr>
                <w:rFonts w:ascii="仿宋_GB2312" w:hAnsi="仿宋_GB2312" w:cs="仿宋_GB2312" w:eastAsia="仿宋_GB2312"/>
                <w:sz w:val="24"/>
              </w:rPr>
              <w:t>工程</w:t>
            </w:r>
            <w:r>
              <w:rPr>
                <w:rFonts w:ascii="仿宋_GB2312" w:hAnsi="仿宋_GB2312" w:cs="仿宋_GB2312" w:eastAsia="仿宋_GB2312"/>
                <w:sz w:val="24"/>
              </w:rPr>
              <w:t>），</w:t>
            </w:r>
            <w:r>
              <w:rPr>
                <w:rFonts w:ascii="仿宋_GB2312" w:hAnsi="仿宋_GB2312" w:cs="仿宋_GB2312" w:eastAsia="仿宋_GB2312"/>
                <w:sz w:val="24"/>
              </w:rPr>
              <w:t>制作</w:t>
            </w:r>
            <w:r>
              <w:rPr>
                <w:rFonts w:ascii="仿宋_GB2312" w:hAnsi="仿宋_GB2312" w:cs="仿宋_GB2312" w:eastAsia="仿宋_GB2312"/>
                <w:sz w:val="24"/>
              </w:rPr>
              <w:t>电子的</w:t>
            </w:r>
            <w:r>
              <w:rPr>
                <w:rFonts w:ascii="仿宋_GB2312" w:hAnsi="仿宋_GB2312" w:cs="仿宋_GB2312" w:eastAsia="仿宋_GB2312"/>
                <w:sz w:val="24"/>
              </w:rPr>
              <w:t>分幅图</w:t>
            </w:r>
            <w:r>
              <w:rPr>
                <w:rFonts w:ascii="仿宋_GB2312" w:hAnsi="仿宋_GB2312" w:cs="仿宋_GB2312" w:eastAsia="仿宋_GB2312"/>
                <w:sz w:val="24"/>
              </w:rPr>
              <w:t>579</w:t>
            </w:r>
            <w:r>
              <w:rPr>
                <w:rFonts w:ascii="仿宋_GB2312" w:hAnsi="仿宋_GB2312" w:cs="仿宋_GB2312" w:eastAsia="仿宋_GB2312"/>
                <w:sz w:val="24"/>
              </w:rPr>
              <w:t>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耕地资源质量分类成果更新</w:t>
            </w:r>
            <w:r>
              <w:rPr>
                <w:rFonts w:ascii="仿宋_GB2312" w:hAnsi="仿宋_GB2312" w:cs="仿宋_GB2312" w:eastAsia="仿宋_GB2312"/>
                <w:sz w:val="24"/>
              </w:rPr>
              <w:t>（</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，通过开展实地调查补充</w:t>
            </w:r>
            <w:r>
              <w:rPr>
                <w:rFonts w:ascii="仿宋_GB2312" w:hAnsi="仿宋_GB2312" w:cs="仿宋_GB2312" w:eastAsia="仿宋_GB2312"/>
                <w:sz w:val="24"/>
              </w:rPr>
              <w:t>样</w:t>
            </w:r>
            <w:r>
              <w:rPr>
                <w:rFonts w:ascii="仿宋_GB2312" w:hAnsi="仿宋_GB2312" w:cs="仿宋_GB2312" w:eastAsia="仿宋_GB2312"/>
                <w:sz w:val="24"/>
              </w:rPr>
              <w:t>点数据，全面掌握</w:t>
            </w:r>
            <w:r>
              <w:rPr>
                <w:rFonts w:ascii="仿宋_GB2312" w:hAnsi="仿宋_GB2312" w:cs="仿宋_GB2312" w:eastAsia="仿宋_GB2312"/>
                <w:sz w:val="24"/>
              </w:rPr>
              <w:t>2024年度内耕地资源质量变化情况，完成2023至2024年</w:t>
            </w:r>
            <w:r>
              <w:rPr>
                <w:rFonts w:ascii="仿宋_GB2312" w:hAnsi="仿宋_GB2312" w:cs="仿宋_GB2312" w:eastAsia="仿宋_GB2312"/>
                <w:sz w:val="24"/>
              </w:rPr>
              <w:t>度</w:t>
            </w:r>
            <w:r>
              <w:rPr>
                <w:rFonts w:ascii="仿宋_GB2312" w:hAnsi="仿宋_GB2312" w:cs="仿宋_GB2312" w:eastAsia="仿宋_GB2312"/>
                <w:sz w:val="24"/>
              </w:rPr>
              <w:t>耕地质量分类更新和监测工作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（二）、成果要求：举证</w:t>
            </w:r>
            <w:r>
              <w:rPr>
                <w:rFonts w:ascii="仿宋_GB2312" w:hAnsi="仿宋_GB2312" w:cs="仿宋_GB2312" w:eastAsia="仿宋_GB2312"/>
                <w:sz w:val="24"/>
              </w:rPr>
              <w:t>DB包</w:t>
            </w:r>
            <w:r>
              <w:rPr>
                <w:rFonts w:ascii="仿宋_GB2312" w:hAnsi="仿宋_GB2312" w:cs="仿宋_GB2312" w:eastAsia="仿宋_GB2312"/>
                <w:sz w:val="24"/>
              </w:rPr>
              <w:t>、</w:t>
            </w:r>
            <w:r>
              <w:rPr>
                <w:rFonts w:ascii="仿宋_GB2312" w:hAnsi="仿宋_GB2312" w:cs="仿宋_GB2312" w:eastAsia="仿宋_GB2312"/>
                <w:sz w:val="24"/>
              </w:rPr>
              <w:t>工作总结报告和数据分析相关成果等。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合同签订后30日历天内按照采购人要求提交成果文件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依据磋商文件、磋商响应文件、澄清表（函）、合同内容及附件文本；国家及行业现行的标准和技术规范，自行组织验收；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甲方和乙方双方违约责任遵照签订的合同条款执行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供应商须具备行政主管部门颁发的测绘乙级（含乙级）及以上资质证书，拟派项目负责人具有相关专业中级及以上职称；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拟投入本项目的工器具配置表.docx 响应文件封面 供应商应提交的相关资格证明材料.docx 拟投入本项目人员配置情况表.docx 残疾人福利性单位声明函 标的清单 其他资料.docx 响应函 服务方案.docx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拟投入本项目的工器具配置表.docx 响应文件封面 供应商应提交的相关资格证明材料.docx 拟投入本项目人员配置情况表.docx 残疾人福利性单位声明函 标的清单 其他资料.docx 响应函 服务方案.docx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提供2022年1月1日以来类似项目的业绩，每个1分，满分4分。 注：以合同协议书签订时间或中标通知书发放时间为准的业绩，需提供合同扫描件或中标通知书扫描件，并加盖供应商企业公章。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tc>
      </w:tr>
      <w:tr>
        <w:tc>
          <w:tcPr>
            <w:tcW w:type="dxa" w:w="831"/>
            <w:vMerge/>
          </w:tcPr>
          <w:p/>
        </w:tc>
        <w:tc>
          <w:tcPr>
            <w:tcW w:type="dxa" w:w="1661"/>
          </w:tcPr>
          <w:p>
            <w:pPr>
              <w:pStyle w:val="null3"/>
            </w:pPr>
            <w:r>
              <w:rPr>
                <w:rFonts w:ascii="仿宋_GB2312" w:hAnsi="仿宋_GB2312" w:cs="仿宋_GB2312" w:eastAsia="仿宋_GB2312"/>
              </w:rPr>
              <w:t>拟投入工具、设备</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一、评审内容:投标人针对本项目提出适用于本项目的工器具配置方案，包括但不限于:①工器具配置方案；②工器具供应保障措施。 二、评审标准:1、完整性:方案全面，对评审内容中的各项要求描述详细；2、可实施性:切合本项目实际情况，实施步骤清晰、合理；3、针对性:方案能够紧扣项目实际情况，内容科学合理。三、赋分(满分9分)①工器具配置方案:每满足一个评审标准，得1.5分，满分4.5分；②工器具供应保障措施:每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拟投入本项目的工器具配置表.docx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供应商拟投入本项目的项目组成员中（除项目负责人以外）具备中级及以上职称资格，每投入中级职称人员1人得1分，每投入高级职称人员1人得2分，总分最高8分； 评审依据：拟派项目人员需在响应文件中附相关人员身份证、职称证等证明材料，未提供不得分。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出适用于本项目的服务方案。包括但不限于:①项目目标及认知；②总体服务方案及具体作业方法(信息提取，外业调查及举证，变更图斑修改更新，数据库建设，数据成果汇总、编制报告，质量分类成果更新等内容)；③质量保证方案(质量保证体系、质量保证的具体措施等内容)；④实施进度(项目实施进度计划、提供详细的进度计划表或示意图，提供项目进度保障措施等内容)；⑤外业调查安全保障措施及应急管理方案；⑥项目前期准备、外业调查、内业处理、成果提交等内容是否有创新技术。 二、评审标准:1、完整性:方案全面，对各方面内容中有详细描述；2、合理性:方案实施步骤科学清晰、合理可行；3、针对性:紧扣项目实际情况，能根据采购人的具体要求制定个性化服务方案。 三、赋分(满分60分)①项目目标及认知:每满足一个评审标准，得3分，满分9分；②总体服务方案及具体作业方法:每满足一个评审标准，得5分，满分15分；③质量保证方案：每满足一个评审标准，得4分，满分12分；④实施进度:每满足一个评审标准，得2分，满分6分；⑤外业调查安全保障措施及应急管理方案:每满足一个评审标准，得3分，满分9分；⑥项目前期准备、外业调查、内业处理、成果提交等内容是否有创新技术：每满足一个评审标准，得2分，满分6分。</w:t>
            </w:r>
          </w:p>
        </w:tc>
        <w:tc>
          <w:tcPr>
            <w:tcW w:type="dxa" w:w="831"/>
          </w:tcPr>
          <w:p>
            <w:pPr>
              <w:pStyle w:val="null3"/>
              <w:jc w:val="right"/>
            </w:pPr>
            <w:r>
              <w:rPr>
                <w:rFonts w:ascii="仿宋_GB2312" w:hAnsi="仿宋_GB2312" w:cs="仿宋_GB2312" w:eastAsia="仿宋_GB2312"/>
              </w:rPr>
              <w:t>57.0000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保密管理措施</w:t>
            </w:r>
          </w:p>
        </w:tc>
        <w:tc>
          <w:tcPr>
            <w:tcW w:type="dxa" w:w="2492"/>
          </w:tcPr>
          <w:p>
            <w:pPr>
              <w:pStyle w:val="null3"/>
            </w:pPr>
            <w:r>
              <w:rPr>
                <w:rFonts w:ascii="仿宋_GB2312" w:hAnsi="仿宋_GB2312" w:cs="仿宋_GB2312" w:eastAsia="仿宋_GB2312"/>
              </w:rPr>
              <w:t>一、评审内容:制定数据的保密管理措施； 二、评审标准:1、完整性:方案全面，对数据保密管理有详细的规章制度;2、合理性:数据保密措施科学、合理可行;3，针对性:紧扣项目实际情况，能根据采购人的具体要求制定数据管理方案。 三、每满足一个评审标准，得1分，满分3分；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针对本项目提供详尽的服务承诺，包含但不限于针对本项目的①方案调整；②针对本项目长期跟踪研究服务承诺；③合理化建议。 二、评审标准 1、完善性：方案必须全面，对评审内容中的各项要求有详细阐述；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详见附件：拟投入本项目的工器具配置表.docx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