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6ECE90">
      <w:pPr>
        <w:pStyle w:val="8"/>
        <w:jc w:val="center"/>
        <w:outlineLvl w:val="1"/>
        <w:rPr>
          <w:rFonts w:hint="eastAsia" w:ascii="仿宋" w:hAnsi="仿宋" w:eastAsia="仿宋" w:cs="仿宋"/>
        </w:rPr>
      </w:pPr>
      <w:r>
        <w:rPr>
          <w:rFonts w:hint="eastAsia" w:ascii="仿宋" w:hAnsi="仿宋" w:eastAsia="仿宋" w:cs="仿宋"/>
          <w:b/>
          <w:sz w:val="36"/>
        </w:rPr>
        <w:t>拟签订采购合同文本</w:t>
      </w:r>
    </w:p>
    <w:p w14:paraId="6FF181CB">
      <w:pPr>
        <w:spacing w:line="360" w:lineRule="auto"/>
        <w:ind w:firstLine="210" w:firstLineChars="100"/>
        <w:rPr>
          <w:rFonts w:hint="eastAsia" w:ascii="宋体" w:hAnsi="宋体" w:eastAsia="宋体" w:cs="宋体"/>
        </w:rPr>
      </w:pPr>
      <w:r>
        <w:rPr>
          <w:rFonts w:hint="eastAsia" w:ascii="宋体" w:hAnsi="宋体" w:eastAsia="宋体" w:cs="宋体"/>
          <w:b w:val="0"/>
          <w:color w:val="000000"/>
        </w:rPr>
        <w:t xml:space="preserve"> </w:t>
      </w:r>
      <w:r>
        <w:rPr>
          <w:rFonts w:hint="eastAsia" w:ascii="宋体" w:hAnsi="宋体" w:eastAsia="宋体" w:cs="宋体"/>
          <w:b/>
          <w:sz w:val="21"/>
          <w:szCs w:val="21"/>
        </w:rPr>
        <w:t>注：本合同仅为合同的参考文本，合同签订双方可根据项目的具体要求进行修订。</w:t>
      </w:r>
    </w:p>
    <w:p w14:paraId="58FC314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abs>
          <w:tab w:val="left" w:pos="1823"/>
          <w:tab w:val="center" w:pos="4596"/>
        </w:tabs>
        <w:spacing w:before="0" w:beforeAutospacing="0" w:after="0" w:afterAutospacing="0" w:line="360" w:lineRule="atLeast"/>
        <w:ind w:left="0" w:right="0" w:firstLine="480" w:firstLineChars="200"/>
        <w:jc w:val="left"/>
        <w:rPr>
          <w:rFonts w:hint="eastAsia" w:ascii="宋体" w:hAnsi="宋体" w:eastAsia="宋体" w:cs="宋体"/>
          <w:sz w:val="24"/>
          <w:szCs w:val="24"/>
          <w:lang w:eastAsia="zh-CN"/>
        </w:rPr>
      </w:pPr>
      <w:r>
        <w:rPr>
          <w:rFonts w:hint="eastAsia" w:ascii="宋体" w:hAnsi="宋体" w:eastAsia="宋体" w:cs="宋体"/>
          <w:b w:val="0"/>
          <w:bCs w:val="0"/>
          <w:sz w:val="24"/>
          <w:szCs w:val="24"/>
        </w:rPr>
        <w:t>甲方（采购人）：</w:t>
      </w:r>
      <w:r>
        <w:rPr>
          <w:rFonts w:hint="eastAsia" w:ascii="宋体" w:hAnsi="宋体" w:eastAsia="宋体" w:cs="宋体"/>
          <w:b w:val="0"/>
          <w:bCs w:val="0"/>
          <w:kern w:val="2"/>
          <w:sz w:val="24"/>
          <w:szCs w:val="24"/>
          <w:lang w:val="en-US" w:eastAsia="zh-CN" w:bidi="ar-SA"/>
        </w:rPr>
        <w:t>汉中市生态环境局西乡分局</w:t>
      </w:r>
    </w:p>
    <w:p w14:paraId="377591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乙方（成交人）：</w:t>
      </w:r>
    </w:p>
    <w:p w14:paraId="2B4D0BE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依据《中华人民共和国民法典》、《中华人民共和国政府采购法》与项目行业有关的法律法规，以及</w:t>
      </w:r>
      <w:r>
        <w:rPr>
          <w:rFonts w:hint="eastAsia" w:ascii="宋体" w:hAnsi="宋体" w:cs="宋体"/>
          <w:sz w:val="24"/>
          <w:szCs w:val="24"/>
          <w:lang w:val="en-US" w:eastAsia="zh-CN"/>
        </w:rPr>
        <w:t>本</w:t>
      </w:r>
      <w:r>
        <w:rPr>
          <w:rFonts w:hint="eastAsia" w:ascii="宋体" w:hAnsi="宋体" w:eastAsia="宋体" w:cs="宋体"/>
          <w:b w:val="0"/>
          <w:sz w:val="24"/>
          <w:lang w:eastAsia="zh-CN"/>
        </w:rPr>
        <w:t>项目</w:t>
      </w:r>
      <w:r>
        <w:rPr>
          <w:rFonts w:hint="eastAsia" w:ascii="宋体" w:hAnsi="宋体" w:eastAsia="宋体" w:cs="宋体"/>
          <w:sz w:val="24"/>
          <w:szCs w:val="24"/>
        </w:rPr>
        <w:t>的竞争性磋商文件，乙方的磋商响应文件及成交通知书，甲、乙双方同意签订本合同。</w:t>
      </w:r>
    </w:p>
    <w:p w14:paraId="0A8E67B3">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第一条 服务期限</w:t>
      </w:r>
    </w:p>
    <w:p w14:paraId="34546AE3">
      <w:pPr>
        <w:spacing w:line="360" w:lineRule="auto"/>
        <w:ind w:firstLine="720" w:firstLineChars="300"/>
        <w:rPr>
          <w:rFonts w:hint="eastAsia" w:ascii="宋体" w:hAnsi="宋体" w:eastAsia="宋体" w:cs="宋体"/>
          <w:color w:val="FF0000"/>
          <w:sz w:val="24"/>
          <w:szCs w:val="24"/>
          <w:lang w:val="en-US" w:eastAsia="zh-CN"/>
        </w:rPr>
      </w:pPr>
      <w:bookmarkStart w:id="0" w:name="_Toc286993786"/>
      <w:bookmarkStart w:id="1" w:name="_Toc247334841"/>
      <w:bookmarkStart w:id="2" w:name="_Toc225670751"/>
      <w:bookmarkStart w:id="3" w:name="_Toc238984975"/>
      <w:bookmarkStart w:id="4" w:name="_Toc225654644"/>
      <w:bookmarkStart w:id="5" w:name="_Toc239568418"/>
      <w:bookmarkStart w:id="6" w:name="_Toc211911348"/>
      <w:bookmarkStart w:id="7" w:name="_Toc283019214"/>
      <w:bookmarkStart w:id="8" w:name="_Toc225244852"/>
      <w:bookmarkStart w:id="9" w:name="_Toc237145406"/>
      <w:bookmarkStart w:id="10" w:name="_Toc232492928"/>
      <w:bookmarkStart w:id="11" w:name="_Toc282696226"/>
      <w:bookmarkStart w:id="12" w:name="_Toc239233914"/>
      <w:bookmarkStart w:id="13" w:name="_Toc241833903"/>
      <w:bookmarkStart w:id="14" w:name="_Toc251768862"/>
      <w:bookmarkStart w:id="15" w:name="_Toc211854449"/>
      <w:bookmarkStart w:id="16" w:name="_Toc212019594"/>
      <w:bookmarkStart w:id="17" w:name="_Toc185395249"/>
      <w:r>
        <w:rPr>
          <w:rFonts w:hint="eastAsia" w:ascii="宋体" w:hAnsi="宋体" w:cs="宋体"/>
          <w:color w:val="auto"/>
          <w:sz w:val="24"/>
          <w:szCs w:val="24"/>
          <w:lang w:val="en-US" w:eastAsia="zh-CN"/>
        </w:rPr>
        <w:t>合同签订之日起至活动结束</w:t>
      </w:r>
      <w:r>
        <w:rPr>
          <w:rFonts w:hint="eastAsia" w:ascii="宋体" w:hAnsi="宋体" w:eastAsia="宋体" w:cs="宋体"/>
          <w:color w:val="FF0000"/>
          <w:sz w:val="24"/>
          <w:szCs w:val="24"/>
          <w:lang w:val="en-US" w:eastAsia="zh-CN"/>
        </w:rPr>
        <w:t xml:space="preserve"> </w:t>
      </w:r>
    </w:p>
    <w:p w14:paraId="56028294">
      <w:pPr>
        <w:numPr>
          <w:ilvl w:val="0"/>
          <w:numId w:val="1"/>
        </w:numPr>
        <w:tabs>
          <w:tab w:val="left" w:pos="4048"/>
        </w:tabs>
        <w:spacing w:line="360" w:lineRule="auto"/>
        <w:ind w:firstLine="482" w:firstLineChars="200"/>
        <w:rPr>
          <w:rFonts w:hint="eastAsia" w:ascii="宋体" w:hAnsi="宋体" w:cs="宋体"/>
          <w:b/>
          <w:sz w:val="24"/>
          <w:szCs w:val="24"/>
          <w:lang w:eastAsia="zh-CN"/>
        </w:rPr>
      </w:pPr>
      <w:r>
        <w:rPr>
          <w:rFonts w:hint="eastAsia" w:ascii="宋体" w:hAnsi="宋体" w:eastAsia="宋体" w:cs="宋体"/>
          <w:b/>
          <w:sz w:val="24"/>
          <w:szCs w:val="24"/>
        </w:rPr>
        <w:t>服务内容与绩效目标</w:t>
      </w:r>
      <w:r>
        <w:rPr>
          <w:rFonts w:hint="eastAsia" w:ascii="宋体" w:hAnsi="宋体" w:cs="宋体"/>
          <w:b/>
          <w:sz w:val="24"/>
          <w:szCs w:val="24"/>
          <w:lang w:eastAsia="zh-CN"/>
        </w:rPr>
        <w:t>：</w:t>
      </w:r>
    </w:p>
    <w:p w14:paraId="5F3EE5CF">
      <w:pPr>
        <w:pStyle w:val="2"/>
        <w:numPr>
          <w:numId w:val="0"/>
        </w:numPr>
        <w:rPr>
          <w:rFonts w:hint="eastAsia"/>
          <w:lang w:eastAsia="zh-CN"/>
        </w:rPr>
      </w:pPr>
    </w:p>
    <w:p w14:paraId="68A8BFFB">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第三条 服务费用、验收及支付方式</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04763362">
      <w:pPr>
        <w:pStyle w:val="5"/>
        <w:keepNext w:val="0"/>
        <w:keepLines w:val="0"/>
        <w:widowControl/>
        <w:suppressLineNumbers w:val="0"/>
        <w:pBdr>
          <w:top w:val="none" w:color="auto" w:sz="0" w:space="0"/>
          <w:left w:val="none" w:color="auto" w:sz="0" w:space="0"/>
          <w:bottom w:val="none" w:color="auto" w:sz="0" w:space="0"/>
          <w:right w:val="none" w:color="auto" w:sz="0" w:space="0"/>
        </w:pBdr>
        <w:tabs>
          <w:tab w:val="left" w:pos="311"/>
        </w:tabs>
        <w:spacing w:before="0" w:beforeAutospacing="0" w:after="0" w:afterAutospacing="0" w:line="480" w:lineRule="atLeast"/>
        <w:ind w:right="0"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1、项目成果文件提交后</w:t>
      </w:r>
      <w:r>
        <w:rPr>
          <w:rFonts w:hint="eastAsia" w:cs="宋体"/>
          <w:kern w:val="2"/>
          <w:sz w:val="24"/>
          <w:szCs w:val="24"/>
          <w:lang w:val="en-US" w:eastAsia="zh-CN" w:bidi="ar-SA"/>
        </w:rPr>
        <w:t>，</w:t>
      </w:r>
      <w:r>
        <w:rPr>
          <w:rFonts w:hint="eastAsia" w:ascii="宋体" w:hAnsi="宋体" w:eastAsia="宋体" w:cs="宋体"/>
          <w:kern w:val="2"/>
          <w:sz w:val="24"/>
          <w:szCs w:val="24"/>
          <w:lang w:val="en-US" w:eastAsia="zh-CN" w:bidi="ar-SA"/>
        </w:rPr>
        <w:t>达到付款条件起15日内，支付合同总金额的70.00%；</w:t>
      </w:r>
    </w:p>
    <w:p w14:paraId="4C48948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80" w:firstLineChars="200"/>
        <w:rPr>
          <w:rFonts w:hint="eastAsia" w:ascii="宋体" w:hAnsi="宋体" w:eastAsia="宋体" w:cs="宋体"/>
          <w:kern w:val="2"/>
          <w:sz w:val="24"/>
          <w:szCs w:val="22"/>
          <w:lang w:val="en-US" w:eastAsia="zh-CN" w:bidi="ar-SA"/>
        </w:rPr>
      </w:pPr>
      <w:r>
        <w:rPr>
          <w:rFonts w:hint="eastAsia" w:ascii="宋体" w:hAnsi="宋体" w:eastAsia="宋体" w:cs="宋体"/>
          <w:kern w:val="2"/>
          <w:sz w:val="24"/>
          <w:szCs w:val="24"/>
          <w:lang w:val="en-US" w:eastAsia="zh-CN" w:bidi="ar-SA"/>
        </w:rPr>
        <w:t>2、后续跟踪监测服务满3年后，达到付款条件起</w:t>
      </w:r>
      <w:r>
        <w:rPr>
          <w:rFonts w:hint="eastAsia" w:cs="宋体"/>
          <w:kern w:val="2"/>
          <w:sz w:val="24"/>
          <w:szCs w:val="24"/>
          <w:lang w:val="en-US" w:eastAsia="zh-CN" w:bidi="ar-SA"/>
        </w:rPr>
        <w:t>15</w:t>
      </w:r>
      <w:r>
        <w:rPr>
          <w:rFonts w:hint="eastAsia" w:ascii="宋体" w:hAnsi="宋体" w:eastAsia="宋体" w:cs="宋体"/>
          <w:kern w:val="2"/>
          <w:sz w:val="24"/>
          <w:szCs w:val="24"/>
          <w:lang w:val="en-US" w:eastAsia="zh-CN" w:bidi="ar-SA"/>
        </w:rPr>
        <w:t>日内，支付合同总金额的30.00%。</w:t>
      </w:r>
    </w:p>
    <w:p w14:paraId="4613734E">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第四条 知识产权</w:t>
      </w:r>
    </w:p>
    <w:p w14:paraId="557C746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014135C7">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第五条 无产权瑕疵条款</w:t>
      </w:r>
    </w:p>
    <w:p w14:paraId="345549F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44CF7F00">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第六条 甲方的权利和义务</w:t>
      </w:r>
    </w:p>
    <w:p w14:paraId="6619A2F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69C8FD5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0331CB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226846D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0FB4ACB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5、国家法律、法规所规定由甲方承担的其它责任。</w:t>
      </w:r>
    </w:p>
    <w:p w14:paraId="118FE0BC">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第七条 乙方的权利和义务</w:t>
      </w:r>
    </w:p>
    <w:p w14:paraId="2912B75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1E060B1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5379104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64796FE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1613E43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4CE54C7B">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第八条 违约责任</w:t>
      </w:r>
    </w:p>
    <w:p w14:paraId="7A08BCB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6C01A3C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FBF1346">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第九条 不可抗力事件处理</w:t>
      </w:r>
    </w:p>
    <w:p w14:paraId="0445E30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67EB48F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645FB3B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3、不可抗力事件延续15天以上，双方应通过友好协商，确定是否继续履行合同。</w:t>
      </w:r>
    </w:p>
    <w:p w14:paraId="6A63968D">
      <w:pPr>
        <w:spacing w:line="360" w:lineRule="auto"/>
        <w:ind w:firstLine="482" w:firstLineChars="200"/>
        <w:rPr>
          <w:rFonts w:hint="eastAsia" w:ascii="宋体" w:hAnsi="宋体" w:eastAsia="宋体" w:cs="宋体"/>
          <w:b/>
          <w:sz w:val="24"/>
          <w:szCs w:val="24"/>
        </w:rPr>
      </w:pPr>
      <w:bookmarkStart w:id="18" w:name="_Toc232492933"/>
      <w:bookmarkStart w:id="19" w:name="_Toc212019599"/>
      <w:bookmarkStart w:id="20" w:name="_Toc211854454"/>
      <w:bookmarkStart w:id="21" w:name="_Toc241833908"/>
      <w:bookmarkStart w:id="22" w:name="_Toc185395254"/>
      <w:bookmarkStart w:id="23" w:name="_Toc247334846"/>
      <w:bookmarkStart w:id="24" w:name="_Toc239568423"/>
      <w:bookmarkStart w:id="25" w:name="_Toc225670756"/>
      <w:bookmarkStart w:id="26" w:name="_Toc286993792"/>
      <w:bookmarkStart w:id="27" w:name="_Toc225244857"/>
      <w:bookmarkStart w:id="28" w:name="_Toc211911353"/>
      <w:bookmarkStart w:id="29" w:name="_Toc225654649"/>
      <w:bookmarkStart w:id="30" w:name="_Toc237145411"/>
      <w:bookmarkStart w:id="31" w:name="_Toc239233919"/>
      <w:bookmarkStart w:id="32" w:name="_Toc251768867"/>
      <w:bookmarkStart w:id="33" w:name="_Toc238984980"/>
      <w:r>
        <w:rPr>
          <w:rFonts w:hint="eastAsia" w:ascii="宋体" w:hAnsi="宋体" w:eastAsia="宋体" w:cs="宋体"/>
          <w:b/>
          <w:sz w:val="24"/>
          <w:szCs w:val="24"/>
        </w:rPr>
        <w:t>第十条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02B0A883">
      <w:pPr>
        <w:spacing w:line="360" w:lineRule="auto"/>
        <w:ind w:firstLine="480" w:firstLineChars="200"/>
        <w:rPr>
          <w:rFonts w:hint="eastAsia" w:ascii="宋体" w:hAnsi="宋体" w:eastAsia="宋体" w:cs="宋体"/>
          <w:sz w:val="24"/>
          <w:szCs w:val="24"/>
        </w:rPr>
      </w:pPr>
      <w:bookmarkStart w:id="34" w:name="_Toc247334847"/>
      <w:bookmarkStart w:id="35" w:name="_Toc225654650"/>
      <w:bookmarkStart w:id="36" w:name="_Toc237145412"/>
      <w:bookmarkStart w:id="37" w:name="_Toc239233920"/>
      <w:bookmarkStart w:id="38" w:name="_Toc238984981"/>
      <w:bookmarkStart w:id="39" w:name="_Toc283019219"/>
      <w:bookmarkStart w:id="40" w:name="_Toc212019600"/>
      <w:bookmarkStart w:id="41" w:name="_Toc211854455"/>
      <w:bookmarkStart w:id="42" w:name="_Toc251768868"/>
      <w:bookmarkStart w:id="43" w:name="_Toc232492934"/>
      <w:bookmarkStart w:id="44" w:name="_Toc282696231"/>
      <w:bookmarkStart w:id="45" w:name="_Toc241833909"/>
      <w:bookmarkStart w:id="46" w:name="_Toc211911354"/>
      <w:bookmarkStart w:id="47" w:name="_Toc225670757"/>
      <w:bookmarkStart w:id="48" w:name="_Toc225244858"/>
      <w:bookmarkStart w:id="49" w:name="_Toc286993793"/>
      <w:bookmarkStart w:id="50" w:name="_Toc239568424"/>
      <w:bookmarkStart w:id="51" w:name="_Toc185395255"/>
      <w:r>
        <w:rPr>
          <w:rFonts w:hint="eastAsia" w:ascii="宋体" w:hAnsi="宋体" w:eastAsia="宋体" w:cs="宋体"/>
          <w:sz w:val="24"/>
          <w:szCs w:val="24"/>
        </w:rPr>
        <w:t>1、合同一经签订，不得随意变更、中止或终止。对确需变更、调整或者中止、终止合同的，应按规定履行相应的手续。</w:t>
      </w:r>
    </w:p>
    <w:p w14:paraId="7E8A699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2、合同执行中发生争议的，甲、乙双方应协商解决，协商达不成一致时，可</w:t>
      </w:r>
      <w:r>
        <w:rPr>
          <w:rFonts w:hint="eastAsia" w:ascii="宋体" w:hAnsi="宋体" w:cs="宋体"/>
          <w:sz w:val="24"/>
          <w:szCs w:val="24"/>
          <w:lang w:val="en-US" w:eastAsia="zh-CN"/>
        </w:rPr>
        <w:t>向项目</w:t>
      </w:r>
      <w:bookmarkStart w:id="52" w:name="_GoBack"/>
      <w:bookmarkEnd w:id="52"/>
      <w:r>
        <w:rPr>
          <w:rFonts w:hint="eastAsia" w:ascii="宋体" w:hAnsi="宋体" w:cs="宋体"/>
          <w:sz w:val="24"/>
          <w:szCs w:val="24"/>
          <w:lang w:eastAsia="zh-CN"/>
        </w:rPr>
        <w:t>所在地</w:t>
      </w:r>
      <w:r>
        <w:rPr>
          <w:rFonts w:hint="eastAsia" w:ascii="宋体" w:hAnsi="宋体" w:eastAsia="宋体" w:cs="宋体"/>
          <w:sz w:val="24"/>
          <w:szCs w:val="24"/>
        </w:rPr>
        <w:t>提起诉讼。</w:t>
      </w:r>
    </w:p>
    <w:p w14:paraId="4C2874E1">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第十一条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eastAsia="宋体" w:cs="宋体"/>
          <w:b/>
          <w:sz w:val="24"/>
          <w:szCs w:val="24"/>
        </w:rPr>
        <w:t>生效及其他</w:t>
      </w:r>
    </w:p>
    <w:p w14:paraId="192E4F5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1、甲、乙双方做为合同执行的主体，有义务及时完全履行合同。</w:t>
      </w:r>
    </w:p>
    <w:p w14:paraId="59A0AA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2、合同未尽事宜，由甲、乙双方协商，协商方案作为本合同不可分割的组成部分，与本合同具有同等法律效力。</w:t>
      </w:r>
    </w:p>
    <w:p w14:paraId="6225884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3、采购文件和乙方的响应文件以及合同附件均为合同不可分割的部分。</w:t>
      </w:r>
    </w:p>
    <w:p w14:paraId="683313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4、本合同一式七份，甲乙双方各执三份，具有同等法律效力；监督方执一份。</w:t>
      </w:r>
    </w:p>
    <w:p w14:paraId="3384DE3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甲方（盖单位章）：               乙方（盖单位章）：</w:t>
      </w:r>
    </w:p>
    <w:p w14:paraId="54B3740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法定代表人或                    法定代表人或</w:t>
      </w:r>
    </w:p>
    <w:p w14:paraId="0963B46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授权代理人签字：                授权代理人签字：</w:t>
      </w:r>
    </w:p>
    <w:p w14:paraId="0AF9C83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                          地址：</w:t>
      </w:r>
    </w:p>
    <w:p w14:paraId="204ECEA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邮编：                          邮编：</w:t>
      </w:r>
    </w:p>
    <w:p w14:paraId="3BA5BF0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开户银行名称：                  开户银行名称：</w:t>
      </w:r>
    </w:p>
    <w:p w14:paraId="6BFD06A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银行账号：                      银行账号：</w:t>
      </w:r>
    </w:p>
    <w:p w14:paraId="28251A4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联系人：                        联系人：</w:t>
      </w:r>
    </w:p>
    <w:p w14:paraId="56436FD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电话：                          电话：</w:t>
      </w:r>
    </w:p>
    <w:p w14:paraId="3E95075A">
      <w:pPr>
        <w:rPr>
          <w:rFonts w:hint="eastAsia" w:ascii="宋体" w:hAnsi="宋体" w:eastAsia="宋体" w:cs="宋体"/>
        </w:rPr>
      </w:pPr>
    </w:p>
    <w:p w14:paraId="1D366BE6">
      <w:pPr>
        <w:rPr>
          <w:rFonts w:hint="eastAsia" w:ascii="宋体" w:hAnsi="宋体" w:eastAsia="宋体" w:cs="宋体"/>
        </w:rPr>
      </w:pPr>
    </w:p>
    <w:p w14:paraId="370EBFB6">
      <w:pPr>
        <w:pStyle w:val="5"/>
        <w:spacing w:beforeAutospacing="0" w:afterAutospacing="0" w:line="420" w:lineRule="exact"/>
        <w:jc w:val="center"/>
        <w:outlineLvl w:val="0"/>
        <w:rPr>
          <w:rFonts w:hint="eastAsia" w:ascii="宋体" w:hAnsi="宋体" w:eastAsia="宋体" w:cs="宋体"/>
          <w:b/>
          <w:sz w:val="36"/>
          <w:szCs w:val="36"/>
        </w:rPr>
      </w:pPr>
    </w:p>
    <w:p w14:paraId="6276904F">
      <w:pPr>
        <w:pStyle w:val="5"/>
        <w:spacing w:beforeAutospacing="0" w:afterAutospacing="0" w:line="420" w:lineRule="exact"/>
        <w:jc w:val="center"/>
        <w:outlineLvl w:val="0"/>
        <w:rPr>
          <w:rFonts w:hint="eastAsia" w:ascii="宋体" w:hAnsi="宋体" w:eastAsia="宋体" w:cs="宋体"/>
          <w:b/>
          <w:sz w:val="36"/>
          <w:szCs w:val="36"/>
        </w:rPr>
      </w:pPr>
    </w:p>
    <w:p w14:paraId="2E3A5F5F">
      <w:pPr>
        <w:pStyle w:val="8"/>
        <w:rPr>
          <w:rFonts w:hint="eastAsia" w:ascii="仿宋" w:hAnsi="仿宋" w:eastAsia="仿宋" w:cs="仿宋"/>
          <w:lang w:val="en-US" w:eastAsia="zh-Hans"/>
        </w:rPr>
      </w:pPr>
      <w:r>
        <w:rPr>
          <w:rFonts w:hint="eastAsia" w:ascii="仿宋" w:hAnsi="仿宋" w:eastAsia="仿宋" w:cs="仿宋"/>
        </w:rPr>
        <w:t xml:space="preserve"> </w:t>
      </w:r>
      <w:r>
        <w:rPr>
          <w:rFonts w:hint="eastAsia" w:ascii="仿宋" w:hAnsi="仿宋" w:eastAsia="仿宋" w:cs="仿宋"/>
        </w:rPr>
        <w:br w:type="textWrapping"/>
      </w:r>
    </w:p>
    <w:p w14:paraId="50C3B0D3"/>
    <w:sectPr>
      <w:footerReference r:id="rId3" w:type="default"/>
      <w:pgSz w:w="11906" w:h="16838"/>
      <w:pgMar w:top="1440" w:right="1417" w:bottom="1440" w:left="141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7508D">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B683E6">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4B683E6">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5FC46F"/>
    <w:multiLevelType w:val="singleLevel"/>
    <w:tmpl w:val="D65FC46F"/>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383F55"/>
    <w:rsid w:val="0D9D3A66"/>
    <w:rsid w:val="0F184516"/>
    <w:rsid w:val="2593660F"/>
    <w:rsid w:val="268853E9"/>
    <w:rsid w:val="2C965376"/>
    <w:rsid w:val="37A47B0C"/>
    <w:rsid w:val="38630AE9"/>
    <w:rsid w:val="3AAE7A4B"/>
    <w:rsid w:val="42DA1507"/>
    <w:rsid w:val="6ECD07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kern w:val="0"/>
    </w:rPr>
  </w:style>
  <w:style w:type="paragraph" w:styleId="4">
    <w:name w:val="footer"/>
    <w:basedOn w:val="1"/>
    <w:next w:val="2"/>
    <w:qFormat/>
    <w:uiPriority w:val="0"/>
    <w:pPr>
      <w:tabs>
        <w:tab w:val="center" w:pos="4153"/>
        <w:tab w:val="right" w:pos="8306"/>
      </w:tabs>
      <w:snapToGrid w:val="0"/>
      <w:jc w:val="left"/>
    </w:pPr>
    <w:rPr>
      <w:sz w:val="18"/>
    </w:rPr>
  </w:style>
  <w:style w:type="paragraph" w:styleId="5">
    <w:name w:val="Normal (Web)"/>
    <w:basedOn w:val="1"/>
    <w:qFormat/>
    <w:uiPriority w:val="99"/>
    <w:pPr>
      <w:widowControl/>
      <w:spacing w:before="100" w:beforeAutospacing="1" w:after="100" w:afterAutospacing="1"/>
      <w:jc w:val="left"/>
    </w:pPr>
    <w:rPr>
      <w:rFonts w:hint="eastAsia" w:ascii="宋体" w:hAnsi="宋体"/>
      <w:kern w:val="0"/>
      <w:sz w:val="24"/>
      <w:szCs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1570</Words>
  <Characters>1575</Characters>
  <Lines>0</Lines>
  <Paragraphs>0</Paragraphs>
  <TotalTime>4</TotalTime>
  <ScaleCrop>false</ScaleCrop>
  <LinksUpToDate>false</LinksUpToDate>
  <CharactersWithSpaces>1795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我的1876</cp:lastModifiedBy>
  <dcterms:modified xsi:type="dcterms:W3CDTF">2025-11-14T11:36:06Z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eyJoZGlkIjoiM2I5ZGJmNTlmZTI2Mzg3ZGEzZmRjNDVmMmM5MTE3MjYiLCJ1c2VySWQiOiIyMzMwMTI5MTIifQ==</vt:lpwstr>
  </property>
  <property fmtid="{D5CDD505-2E9C-101B-9397-08002B2CF9AE}" pid="4" name="ICV">
    <vt:lpwstr>5EE3CE4DC76941D9BB88954BAEFA0651_12</vt:lpwstr>
  </property>
</Properties>
</file>