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33DBF">
      <w:pPr>
        <w:pStyle w:val="2"/>
        <w:numPr>
          <w:numId w:val="0"/>
        </w:numPr>
        <w:spacing w:line="360" w:lineRule="auto"/>
        <w:jc w:val="center"/>
        <w:outlineLvl w:val="0"/>
        <w:rPr>
          <w:rFonts w:hint="eastAsia" w:ascii="宋体" w:hAnsi="宋体" w:eastAsia="宋体" w:cs="宋体"/>
          <w:b/>
          <w:color w:val="auto"/>
          <w:sz w:val="44"/>
          <w:szCs w:val="44"/>
        </w:rPr>
      </w:pPr>
      <w:bookmarkStart w:id="0" w:name="_Toc18678"/>
      <w:bookmarkStart w:id="1" w:name="_Toc9192"/>
    </w:p>
    <w:p w14:paraId="12289AC8">
      <w:pPr>
        <w:pStyle w:val="2"/>
        <w:numPr>
          <w:numId w:val="0"/>
        </w:numPr>
        <w:spacing w:line="360" w:lineRule="auto"/>
        <w:jc w:val="center"/>
        <w:outlineLvl w:val="0"/>
        <w:rPr>
          <w:rFonts w:hint="eastAsia" w:ascii="宋体" w:hAnsi="宋体" w:eastAsia="宋体" w:cs="宋体"/>
          <w:b/>
          <w:color w:val="auto"/>
          <w:sz w:val="44"/>
          <w:szCs w:val="44"/>
        </w:rPr>
      </w:pPr>
    </w:p>
    <w:p w14:paraId="7FB6B1E5">
      <w:pPr>
        <w:pStyle w:val="2"/>
        <w:numPr>
          <w:numId w:val="0"/>
        </w:numPr>
        <w:spacing w:line="360" w:lineRule="auto"/>
        <w:jc w:val="center"/>
        <w:outlineLvl w:val="0"/>
        <w:rPr>
          <w:rFonts w:hint="eastAsia" w:ascii="宋体" w:hAnsi="宋体" w:eastAsia="宋体" w:cs="宋体"/>
          <w:b/>
          <w:color w:val="auto"/>
          <w:sz w:val="44"/>
          <w:szCs w:val="44"/>
        </w:rPr>
      </w:pPr>
      <w:bookmarkStart w:id="3" w:name="_GoBack"/>
      <w:r>
        <w:rPr>
          <w:rFonts w:hint="eastAsia" w:ascii="宋体" w:hAnsi="宋体" w:eastAsia="宋体" w:cs="宋体"/>
          <w:b/>
          <w:color w:val="auto"/>
          <w:sz w:val="44"/>
          <w:szCs w:val="44"/>
        </w:rPr>
        <w:t>合同条款及格式</w:t>
      </w:r>
      <w:bookmarkEnd w:id="0"/>
      <w:bookmarkEnd w:id="1"/>
    </w:p>
    <w:bookmarkEnd w:id="3"/>
    <w:p w14:paraId="05BEC96B">
      <w:pPr>
        <w:jc w:val="center"/>
        <w:rPr>
          <w:rFonts w:hint="eastAsia"/>
          <w:color w:val="auto"/>
          <w:sz w:val="22"/>
          <w:szCs w:val="28"/>
        </w:rPr>
      </w:pPr>
      <w:r>
        <w:rPr>
          <w:rFonts w:hint="eastAsia"/>
          <w:color w:val="auto"/>
          <w:sz w:val="22"/>
          <w:szCs w:val="28"/>
        </w:rPr>
        <w:t>（本合同为合同样稿，最终稿由双方协商后确定）</w:t>
      </w:r>
    </w:p>
    <w:p w14:paraId="4D1A298C">
      <w:pPr>
        <w:numPr>
          <w:ilvl w:val="0"/>
          <w:numId w:val="0"/>
        </w:numPr>
        <w:rPr>
          <w:rFonts w:hint="eastAsia"/>
          <w:color w:val="auto"/>
        </w:rPr>
      </w:pPr>
    </w:p>
    <w:p w14:paraId="53EEB914">
      <w:pPr>
        <w:rPr>
          <w:rFonts w:hint="eastAsia" w:ascii="宋体" w:hAnsi="宋体" w:eastAsia="宋体" w:cs="宋体"/>
          <w:color w:val="auto"/>
          <w:kern w:val="0"/>
          <w:szCs w:val="21"/>
        </w:rPr>
      </w:pPr>
    </w:p>
    <w:p w14:paraId="28D8F497">
      <w:pPr>
        <w:adjustRightInd w:val="0"/>
        <w:snapToGrid w:val="0"/>
        <w:jc w:val="left"/>
        <w:rPr>
          <w:rFonts w:ascii="宋体" w:hAnsi="宋体"/>
          <w:color w:val="auto"/>
          <w:sz w:val="24"/>
        </w:rPr>
      </w:pPr>
      <w:r>
        <w:rPr>
          <w:rFonts w:hint="eastAsia" w:ascii="宋体" w:hAnsi="宋体"/>
          <w:color w:val="auto"/>
          <w:sz w:val="24"/>
        </w:rPr>
        <w:t>项目编号：</w:t>
      </w:r>
    </w:p>
    <w:p w14:paraId="64E76FD5">
      <w:pPr>
        <w:adjustRightInd w:val="0"/>
        <w:snapToGrid w:val="0"/>
        <w:jc w:val="center"/>
        <w:rPr>
          <w:rFonts w:hint="eastAsia" w:ascii="宋体" w:hAnsi="宋体"/>
          <w:b/>
          <w:color w:val="auto"/>
          <w:sz w:val="24"/>
        </w:rPr>
      </w:pPr>
    </w:p>
    <w:p w14:paraId="0A06F426">
      <w:pPr>
        <w:adjustRightInd w:val="0"/>
        <w:snapToGrid w:val="0"/>
        <w:jc w:val="center"/>
        <w:rPr>
          <w:rFonts w:hint="eastAsia" w:ascii="宋体" w:hAnsi="宋体"/>
          <w:b/>
          <w:color w:val="auto"/>
          <w:sz w:val="24"/>
        </w:rPr>
      </w:pPr>
    </w:p>
    <w:p w14:paraId="0F7CC751">
      <w:pPr>
        <w:adjustRightInd w:val="0"/>
        <w:snapToGrid w:val="0"/>
        <w:jc w:val="center"/>
        <w:rPr>
          <w:rFonts w:hint="eastAsia" w:ascii="宋体" w:hAnsi="宋体"/>
          <w:b/>
          <w:color w:val="auto"/>
          <w:sz w:val="24"/>
        </w:rPr>
      </w:pPr>
    </w:p>
    <w:p w14:paraId="5664F42E">
      <w:pPr>
        <w:adjustRightInd w:val="0"/>
        <w:snapToGrid w:val="0"/>
        <w:jc w:val="center"/>
        <w:rPr>
          <w:rFonts w:hint="eastAsia" w:ascii="宋体" w:hAnsi="宋体"/>
          <w:b/>
          <w:color w:val="auto"/>
          <w:sz w:val="24"/>
        </w:rPr>
      </w:pPr>
    </w:p>
    <w:p w14:paraId="4F90B499">
      <w:pPr>
        <w:adjustRightInd w:val="0"/>
        <w:snapToGrid w:val="0"/>
        <w:jc w:val="center"/>
        <w:rPr>
          <w:rFonts w:hint="eastAsia" w:ascii="宋体" w:hAnsi="宋体"/>
          <w:b/>
          <w:color w:val="auto"/>
          <w:sz w:val="24"/>
        </w:rPr>
      </w:pPr>
    </w:p>
    <w:p w14:paraId="358AEA4F">
      <w:pPr>
        <w:adjustRightInd w:val="0"/>
        <w:snapToGrid w:val="0"/>
        <w:jc w:val="center"/>
        <w:rPr>
          <w:rFonts w:hint="eastAsia" w:ascii="宋体" w:hAnsi="宋体"/>
          <w:b/>
          <w:color w:val="auto"/>
          <w:sz w:val="24"/>
        </w:rPr>
      </w:pPr>
    </w:p>
    <w:p w14:paraId="6E21921D">
      <w:pPr>
        <w:adjustRightInd w:val="0"/>
        <w:snapToGrid w:val="0"/>
        <w:jc w:val="center"/>
        <w:rPr>
          <w:rFonts w:hint="eastAsia" w:ascii="宋体" w:hAnsi="宋体"/>
          <w:b/>
          <w:color w:val="auto"/>
          <w:sz w:val="24"/>
        </w:rPr>
      </w:pPr>
    </w:p>
    <w:p w14:paraId="7E213794">
      <w:pPr>
        <w:adjustRightInd w:val="0"/>
        <w:snapToGrid w:val="0"/>
        <w:jc w:val="center"/>
        <w:rPr>
          <w:rFonts w:hint="eastAsia" w:ascii="宋体" w:hAnsi="宋体"/>
          <w:b/>
          <w:color w:val="auto"/>
          <w:sz w:val="24"/>
        </w:rPr>
      </w:pPr>
    </w:p>
    <w:p w14:paraId="24602A06">
      <w:pPr>
        <w:adjustRightInd w:val="0"/>
        <w:snapToGrid w:val="0"/>
        <w:jc w:val="center"/>
        <w:rPr>
          <w:rFonts w:hint="eastAsia" w:ascii="宋体" w:hAnsi="宋体"/>
          <w:b/>
          <w:color w:val="auto"/>
          <w:sz w:val="24"/>
        </w:rPr>
      </w:pPr>
    </w:p>
    <w:p w14:paraId="7764B0ED">
      <w:pPr>
        <w:adjustRightInd w:val="0"/>
        <w:snapToGrid w:val="0"/>
        <w:spacing w:line="360" w:lineRule="auto"/>
        <w:jc w:val="center"/>
        <w:rPr>
          <w:rFonts w:hint="eastAsia" w:ascii="宋体" w:hAnsi="宋体"/>
          <w:b/>
          <w:color w:val="auto"/>
          <w:sz w:val="72"/>
          <w:szCs w:val="72"/>
        </w:rPr>
      </w:pPr>
      <w:r>
        <w:rPr>
          <w:rFonts w:hint="eastAsia" w:ascii="宋体" w:hAnsi="宋体"/>
          <w:b/>
          <w:color w:val="auto"/>
          <w:sz w:val="72"/>
          <w:szCs w:val="72"/>
        </w:rPr>
        <w:t>采购项目合同</w:t>
      </w:r>
    </w:p>
    <w:p w14:paraId="5708BB1A">
      <w:pPr>
        <w:adjustRightInd w:val="0"/>
        <w:snapToGrid w:val="0"/>
        <w:spacing w:after="120" w:afterLines="50"/>
        <w:jc w:val="center"/>
        <w:rPr>
          <w:rFonts w:hint="eastAsia" w:ascii="宋体" w:hAnsi="宋体"/>
          <w:b/>
          <w:color w:val="auto"/>
          <w:sz w:val="24"/>
        </w:rPr>
      </w:pPr>
    </w:p>
    <w:p w14:paraId="570719B0">
      <w:pPr>
        <w:adjustRightInd w:val="0"/>
        <w:snapToGrid w:val="0"/>
        <w:spacing w:after="120" w:afterLines="50"/>
        <w:jc w:val="center"/>
        <w:rPr>
          <w:rFonts w:hint="eastAsia" w:ascii="宋体" w:hAnsi="宋体"/>
          <w:b/>
          <w:color w:val="auto"/>
          <w:sz w:val="24"/>
        </w:rPr>
      </w:pPr>
    </w:p>
    <w:p w14:paraId="64847091">
      <w:pPr>
        <w:adjustRightInd w:val="0"/>
        <w:snapToGrid w:val="0"/>
        <w:spacing w:after="120" w:afterLines="50"/>
        <w:jc w:val="center"/>
        <w:rPr>
          <w:rFonts w:hint="eastAsia" w:ascii="宋体" w:hAnsi="宋体"/>
          <w:b/>
          <w:color w:val="auto"/>
          <w:sz w:val="24"/>
        </w:rPr>
      </w:pPr>
    </w:p>
    <w:p w14:paraId="15D5415B">
      <w:pPr>
        <w:adjustRightInd w:val="0"/>
        <w:snapToGrid w:val="0"/>
        <w:spacing w:after="120" w:afterLines="50"/>
        <w:jc w:val="center"/>
        <w:rPr>
          <w:rFonts w:hint="eastAsia" w:ascii="宋体" w:hAnsi="宋体"/>
          <w:b/>
          <w:color w:val="auto"/>
          <w:sz w:val="24"/>
        </w:rPr>
      </w:pPr>
    </w:p>
    <w:p w14:paraId="2BB6CFD0">
      <w:pPr>
        <w:adjustRightInd w:val="0"/>
        <w:snapToGrid w:val="0"/>
        <w:spacing w:after="120" w:afterLines="50"/>
        <w:jc w:val="center"/>
        <w:rPr>
          <w:rFonts w:hint="eastAsia" w:ascii="宋体" w:hAnsi="宋体"/>
          <w:b/>
          <w:color w:val="auto"/>
          <w:sz w:val="24"/>
        </w:rPr>
      </w:pPr>
    </w:p>
    <w:p w14:paraId="28D3C908">
      <w:pPr>
        <w:adjustRightInd w:val="0"/>
        <w:snapToGrid w:val="0"/>
        <w:spacing w:after="120" w:afterLines="50"/>
        <w:jc w:val="center"/>
        <w:rPr>
          <w:rFonts w:hint="eastAsia" w:ascii="宋体" w:hAnsi="宋体"/>
          <w:b/>
          <w:color w:val="auto"/>
          <w:sz w:val="24"/>
        </w:rPr>
      </w:pPr>
    </w:p>
    <w:p w14:paraId="6068EA1E">
      <w:pPr>
        <w:adjustRightInd w:val="0"/>
        <w:snapToGrid w:val="0"/>
        <w:spacing w:after="120" w:afterLines="50"/>
        <w:jc w:val="center"/>
        <w:rPr>
          <w:rFonts w:hint="eastAsia" w:ascii="宋体" w:hAnsi="宋体"/>
          <w:b/>
          <w:color w:val="auto"/>
          <w:sz w:val="24"/>
        </w:rPr>
      </w:pPr>
    </w:p>
    <w:p w14:paraId="7308B5F6">
      <w:pPr>
        <w:adjustRightInd w:val="0"/>
        <w:snapToGrid w:val="0"/>
        <w:spacing w:after="120" w:afterLines="50"/>
        <w:jc w:val="center"/>
        <w:rPr>
          <w:rFonts w:hint="eastAsia" w:ascii="宋体" w:hAnsi="宋体"/>
          <w:b/>
          <w:color w:val="auto"/>
          <w:sz w:val="24"/>
        </w:rPr>
      </w:pPr>
    </w:p>
    <w:p w14:paraId="03FFD373">
      <w:pPr>
        <w:adjustRightInd w:val="0"/>
        <w:snapToGrid w:val="0"/>
        <w:spacing w:after="120" w:afterLines="50"/>
        <w:jc w:val="center"/>
        <w:rPr>
          <w:rFonts w:hint="eastAsia" w:ascii="宋体" w:hAnsi="宋体"/>
          <w:b/>
          <w:color w:val="auto"/>
          <w:sz w:val="24"/>
        </w:rPr>
      </w:pPr>
    </w:p>
    <w:p w14:paraId="436B7BEB">
      <w:pPr>
        <w:adjustRightInd w:val="0"/>
        <w:snapToGrid w:val="0"/>
        <w:spacing w:after="120" w:afterLines="50"/>
        <w:jc w:val="both"/>
        <w:rPr>
          <w:rFonts w:hint="eastAsia" w:ascii="宋体" w:hAnsi="宋体"/>
          <w:b/>
          <w:color w:val="auto"/>
          <w:sz w:val="24"/>
        </w:rPr>
      </w:pPr>
    </w:p>
    <w:p w14:paraId="0421D7E6">
      <w:pPr>
        <w:adjustRightInd w:val="0"/>
        <w:snapToGrid w:val="0"/>
        <w:spacing w:after="120" w:afterLines="50"/>
        <w:jc w:val="center"/>
        <w:rPr>
          <w:rFonts w:hint="eastAsia" w:ascii="宋体" w:hAnsi="宋体"/>
          <w:b/>
          <w:color w:val="auto"/>
          <w:sz w:val="24"/>
        </w:rPr>
      </w:pPr>
    </w:p>
    <w:p w14:paraId="264560AE">
      <w:pPr>
        <w:adjustRightInd w:val="0"/>
        <w:snapToGrid w:val="0"/>
        <w:spacing w:after="120" w:afterLines="50"/>
        <w:jc w:val="center"/>
        <w:rPr>
          <w:rFonts w:hint="eastAsia" w:ascii="宋体" w:hAnsi="宋体"/>
          <w:b/>
          <w:color w:val="auto"/>
          <w:sz w:val="24"/>
        </w:rPr>
      </w:pPr>
    </w:p>
    <w:p w14:paraId="24F36CB0">
      <w:pPr>
        <w:pStyle w:val="6"/>
        <w:rPr>
          <w:rFonts w:hint="eastAsia"/>
          <w:color w:val="auto"/>
        </w:rPr>
      </w:pPr>
    </w:p>
    <w:p w14:paraId="47A81F7F">
      <w:pPr>
        <w:adjustRightInd w:val="0"/>
        <w:snapToGrid w:val="0"/>
        <w:spacing w:after="120" w:afterLines="50"/>
        <w:jc w:val="center"/>
        <w:rPr>
          <w:rFonts w:hint="eastAsia" w:ascii="宋体" w:hAnsi="宋体"/>
          <w:b/>
          <w:color w:val="auto"/>
          <w:sz w:val="24"/>
        </w:rPr>
      </w:pPr>
    </w:p>
    <w:p w14:paraId="7E952861">
      <w:pPr>
        <w:adjustRightInd w:val="0"/>
        <w:snapToGrid w:val="0"/>
        <w:spacing w:after="120" w:afterLines="50"/>
        <w:jc w:val="center"/>
        <w:rPr>
          <w:rFonts w:hint="eastAsia" w:ascii="宋体" w:hAnsi="宋体"/>
          <w:b/>
          <w:color w:val="auto"/>
          <w:sz w:val="24"/>
        </w:rPr>
      </w:pPr>
      <w:r>
        <w:rPr>
          <w:rFonts w:hint="eastAsia" w:ascii="宋体" w:hAnsi="宋体"/>
          <w:b/>
          <w:color w:val="auto"/>
          <w:sz w:val="24"/>
        </w:rPr>
        <w:t>年  月  日</w:t>
      </w:r>
    </w:p>
    <w:p w14:paraId="5F92335F">
      <w:pPr>
        <w:adjustRightInd w:val="0"/>
        <w:snapToGrid w:val="0"/>
        <w:spacing w:after="120" w:afterLines="50"/>
        <w:jc w:val="center"/>
        <w:rPr>
          <w:rFonts w:hint="eastAsia" w:ascii="宋体" w:hAnsi="宋体"/>
          <w:b/>
          <w:color w:val="auto"/>
          <w:sz w:val="24"/>
        </w:rPr>
      </w:pPr>
    </w:p>
    <w:p w14:paraId="560AA1D2">
      <w:pPr>
        <w:adjustRightInd w:val="0"/>
        <w:snapToGrid w:val="0"/>
        <w:spacing w:after="120" w:afterLines="50"/>
        <w:jc w:val="center"/>
        <w:rPr>
          <w:rFonts w:hint="eastAsia" w:ascii="宋体" w:hAnsi="宋体"/>
          <w:b/>
          <w:color w:val="auto"/>
          <w:sz w:val="24"/>
        </w:rPr>
      </w:pPr>
    </w:p>
    <w:p w14:paraId="44980A13">
      <w:pPr>
        <w:shd w:val="clear" w:color="auto" w:fill="FFFFFF"/>
        <w:snapToGrid w:val="0"/>
        <w:spacing w:line="360" w:lineRule="auto"/>
        <w:rPr>
          <w:rFonts w:hint="eastAsia" w:ascii="宋体" w:hAnsi="宋体" w:cs="宋体"/>
          <w:b/>
          <w:bCs/>
          <w:color w:val="auto"/>
          <w:sz w:val="24"/>
        </w:rPr>
      </w:pPr>
    </w:p>
    <w:p w14:paraId="343DE571">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2B073A1">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乙方：</w:t>
      </w:r>
      <w:r>
        <w:rPr>
          <w:rFonts w:hint="eastAsia" w:ascii="宋体" w:hAnsi="宋体" w:eastAsia="宋体" w:cs="宋体"/>
          <w:color w:val="auto"/>
          <w:sz w:val="24"/>
          <w:szCs w:val="24"/>
          <w:u w:val="single"/>
        </w:rPr>
        <w:t xml:space="preserve">                           </w:t>
      </w:r>
    </w:p>
    <w:p w14:paraId="7FC06376">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根据《中华人民共和国民法典》及其他相关法律规定，为了明确甲乙双方的权利、义务，经过甲、乙双方充分协商，就甲方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项目 </w:t>
      </w:r>
      <w:r>
        <w:rPr>
          <w:rFonts w:hint="eastAsia" w:ascii="宋体" w:hAnsi="宋体" w:eastAsia="宋体" w:cs="宋体"/>
          <w:color w:val="auto"/>
          <w:sz w:val="24"/>
          <w:szCs w:val="24"/>
        </w:rPr>
        <w:t>事宜达成如下协议，以便共同信守。</w:t>
      </w:r>
    </w:p>
    <w:p w14:paraId="0D4E8533">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一、服务条件</w:t>
      </w:r>
    </w:p>
    <w:p w14:paraId="3B2CBF5F">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（一）服务地点：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06AC9057">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（二）服务期：</w:t>
      </w:r>
      <w:r>
        <w:rPr>
          <w:rFonts w:hint="eastAsia" w:ascii="宋体" w:hAnsi="宋体" w:eastAsia="宋体" w:cs="宋体"/>
          <w:color w:val="auto"/>
          <w:sz w:val="24"/>
          <w:szCs w:val="24"/>
          <w:u w:val="single"/>
          <w:lang w:val="en-US" w:eastAsia="zh-CN"/>
        </w:rPr>
        <w:t xml:space="preserve">         </w:t>
      </w:r>
    </w:p>
    <w:p w14:paraId="56B4E667">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二、合同价款</w:t>
      </w:r>
    </w:p>
    <w:p w14:paraId="0AE53F0D">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（一）合同总价款为人民币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（大写），</w:t>
      </w:r>
      <w:r>
        <w:rPr>
          <w:rFonts w:hint="eastAsia" w:ascii="宋体" w:hAnsi="宋体" w:eastAsia="宋体" w:cs="宋体"/>
          <w:color w:val="auto"/>
          <w:sz w:val="24"/>
          <w:szCs w:val="24"/>
          <w:lang w:eastAsia="zh-CN"/>
        </w:rPr>
        <w:t>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4B2BD835">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（二）合同总价包括：人员工资薪酬、价格表所包含的福利、税金及管理费等，本项目所需服务的全部费用。</w:t>
      </w:r>
    </w:p>
    <w:p w14:paraId="677497F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（三）合同总价为包干价，合同期内不受市场价格变化因素的影响。</w:t>
      </w:r>
    </w:p>
    <w:p w14:paraId="2B2549DB">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三、付款方式</w:t>
      </w:r>
    </w:p>
    <w:p w14:paraId="24F1A0E3">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t xml:space="preserve">          </w:t>
      </w:r>
    </w:p>
    <w:p w14:paraId="4D0364D7">
      <w:pPr>
        <w:keepNext w:val="0"/>
        <w:keepLines w:val="0"/>
        <w:pageBreakBefore w:val="0"/>
        <w:widowControl w:val="0"/>
        <w:numPr>
          <w:ilvl w:val="0"/>
          <w:numId w:val="1"/>
        </w:numPr>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服务人员配置标准</w:t>
      </w:r>
    </w:p>
    <w:p w14:paraId="1DA5FA10">
      <w:pPr>
        <w:pStyle w:val="7"/>
        <w:keepNext w:val="0"/>
        <w:keepLines w:val="0"/>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p>
    <w:p w14:paraId="3E376DD2">
      <w:pPr>
        <w:pStyle w:val="7"/>
        <w:keepNext w:val="0"/>
        <w:keepLines w:val="0"/>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color w:val="auto"/>
          <w:sz w:val="24"/>
          <w:szCs w:val="24"/>
          <w:u w:val="single"/>
          <w:lang w:val="en-US" w:eastAsia="zh-CN"/>
        </w:rPr>
      </w:pPr>
    </w:p>
    <w:p w14:paraId="506CD62E">
      <w:pPr>
        <w:keepNext w:val="0"/>
        <w:keepLines w:val="0"/>
        <w:pageBreakBefore w:val="0"/>
        <w:widowControl w:val="0"/>
        <w:numPr>
          <w:ilvl w:val="0"/>
          <w:numId w:val="2"/>
        </w:numPr>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服务内容</w:t>
      </w:r>
    </w:p>
    <w:p w14:paraId="6F873512">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u w:val="single"/>
          <w:lang w:val="en-US" w:eastAsia="zh-CN"/>
        </w:rPr>
      </w:pPr>
      <w:r>
        <w:rPr>
          <w:rFonts w:hint="eastAsia" w:ascii="宋体" w:hAnsi="宋体" w:eastAsia="宋体" w:cs="宋体"/>
          <w:b/>
          <w:bCs/>
          <w:color w:val="auto"/>
          <w:sz w:val="24"/>
          <w:szCs w:val="24"/>
          <w:u w:val="single"/>
          <w:lang w:val="en-US" w:eastAsia="zh-CN"/>
        </w:rPr>
        <w:t xml:space="preserve">           </w:t>
      </w:r>
    </w:p>
    <w:p w14:paraId="21AD0975">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六、双方的权利和义务</w:t>
      </w:r>
    </w:p>
    <w:p w14:paraId="09FDE5D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（一）甲方的权利和义务</w:t>
      </w:r>
    </w:p>
    <w:p w14:paraId="40FC2D7C">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1、甲方有权检查、监督乙方服务工作的实施及合同的执行情况。</w:t>
      </w:r>
    </w:p>
    <w:p w14:paraId="58B059C7">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2、依照合同约定向乙方支付服务费及其他本合同约定应当由甲方承担的费用。</w:t>
      </w:r>
    </w:p>
    <w:p w14:paraId="44386354">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（二）乙方的权利和义务</w:t>
      </w:r>
    </w:p>
    <w:p w14:paraId="0E8BD365">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1、乙方有权根据有关法律法规的规定及本合同约定，自行制定服务相关制度。</w:t>
      </w:r>
    </w:p>
    <w:p w14:paraId="24AD6713">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七、质量保证</w:t>
      </w:r>
    </w:p>
    <w:p w14:paraId="23A47D74">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保证所供服务期内的服务标准按照合同执行。</w:t>
      </w:r>
    </w:p>
    <w:p w14:paraId="7AAA23AE">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八、违约责任</w:t>
      </w:r>
    </w:p>
    <w:p w14:paraId="0A8BD860">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（一）按《民法典》中的相关条款执行。</w:t>
      </w:r>
    </w:p>
    <w:p w14:paraId="23730E0E">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（二）乙方提供的服务不符合本项目相关文件和本合同规定的，甲方有权拒绝，并且乙方须向甲方支付本合同总价款 1 %的违约金。</w:t>
      </w:r>
    </w:p>
    <w:p w14:paraId="4B95C88D">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（三）乙方未能按照本合同约定时间提供服务或完成约定的项目服务内容的，从逾期之日起每日按本合同总价款 0.5 %的数额向甲方支付违约金；逾期10日以上的，甲方有权终止合同，由此造成的甲方经济损失由乙方承担。</w:t>
      </w:r>
    </w:p>
    <w:p w14:paraId="63D46894">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（四）在本合同履行过程中，双方因违约或造成对方经济、社会效益等损失的应当赔偿。</w:t>
      </w:r>
    </w:p>
    <w:p w14:paraId="527138D3">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九、保密条款</w:t>
      </w:r>
    </w:p>
    <w:p w14:paraId="7868BDBE">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（一）乙方应遵守国家有关保密的法律法规和行业规定，并对甲方提供的资料负有保密义务。未经甲方同意，不得将承接本项目各种信息和资料提供给其他单位和个人。如发生以上情况，甲方有权索赔。</w:t>
      </w:r>
    </w:p>
    <w:p w14:paraId="7DB8B710">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（二）本条款为独立条款，本合同的无效、变更、解除和终止均不影响本条款的效力。</w:t>
      </w:r>
    </w:p>
    <w:p w14:paraId="18D80DB6">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十、争议解决</w:t>
      </w:r>
    </w:p>
    <w:p w14:paraId="6179D8B0">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本合同履行过程中发生的纠纷双方应协商解决。协商不成的，合同任何一方均有权向甲方所在地人民法院提起诉讼。</w:t>
      </w:r>
    </w:p>
    <w:p w14:paraId="07C72536">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十一、合同变更</w:t>
      </w:r>
    </w:p>
    <w:p w14:paraId="0575B60F">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在合同的执行期内，双方均不得随意变更或解除合同。如因项目需求情况发生变化，需要项目变更的，应双方协商后签订项目变更协议。</w:t>
      </w:r>
    </w:p>
    <w:p w14:paraId="77419080">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十二、合同生效</w:t>
      </w:r>
    </w:p>
    <w:p w14:paraId="00B15020">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份，甲方持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份，乙方持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份，本合同双方签字盖章后生效，合同执行完毕后，自动失效。</w:t>
      </w:r>
    </w:p>
    <w:p w14:paraId="39DC6AFD">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十三、其他事项</w:t>
      </w:r>
    </w:p>
    <w:p w14:paraId="1FFEA29C">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合同未尽事宜，由双方协商确认后签订补充协议，与原合同具有同等法律效力。</w:t>
      </w:r>
    </w:p>
    <w:p w14:paraId="163DB266">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注：协议具体事宜以双方协商签订为准）</w:t>
      </w:r>
    </w:p>
    <w:p w14:paraId="5C70532D">
      <w:pPr>
        <w:pStyle w:val="5"/>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bl>
      <w:tblPr>
        <w:tblStyle w:val="8"/>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377"/>
        <w:gridCol w:w="4560"/>
      </w:tblGrid>
      <w:tr w14:paraId="7315833B">
        <w:tblPrEx>
          <w:tblCellMar>
            <w:top w:w="0" w:type="dxa"/>
            <w:left w:w="108" w:type="dxa"/>
            <w:bottom w:w="0" w:type="dxa"/>
            <w:right w:w="108" w:type="dxa"/>
          </w:tblCellMar>
        </w:tblPrEx>
        <w:trPr>
          <w:trHeight w:val="1101" w:hRule="atLeast"/>
        </w:trPr>
        <w:tc>
          <w:tcPr>
            <w:tcW w:w="4377" w:type="dxa"/>
            <w:noWrap w:val="0"/>
            <w:tcMar>
              <w:top w:w="113" w:type="dxa"/>
              <w:left w:w="113" w:type="dxa"/>
              <w:bottom w:w="113" w:type="dxa"/>
              <w:right w:w="113" w:type="dxa"/>
            </w:tcMar>
            <w:vAlign w:val="top"/>
          </w:tcPr>
          <w:p w14:paraId="38982E1C">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bookmarkStart w:id="2" w:name="OLE_LINK14"/>
            <w:r>
              <w:rPr>
                <w:rFonts w:hint="eastAsia" w:ascii="宋体" w:hAnsi="宋体" w:eastAsia="宋体" w:cs="宋体"/>
                <w:color w:val="auto"/>
                <w:sz w:val="24"/>
                <w:szCs w:val="24"/>
              </w:rPr>
              <w:t xml:space="preserve">发包人名称（盖章）： </w:t>
            </w:r>
          </w:p>
          <w:p w14:paraId="043331D3">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地    址： </w:t>
            </w:r>
          </w:p>
          <w:p w14:paraId="5B12D89A">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邮    编：</w:t>
            </w:r>
          </w:p>
          <w:p w14:paraId="39CCC749">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    话：</w:t>
            </w:r>
          </w:p>
          <w:p w14:paraId="2B7735E6">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    真：</w:t>
            </w:r>
          </w:p>
          <w:p w14:paraId="0A6AF72B">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p>
          <w:p w14:paraId="27DE1B47">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p>
          <w:p w14:paraId="5BD61B93">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法定代表人或委托代理人(签字)：</w:t>
            </w:r>
          </w:p>
          <w:p w14:paraId="5DC0A646">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18D41BE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   月   日 </w:t>
            </w:r>
            <w:bookmarkEnd w:id="2"/>
          </w:p>
        </w:tc>
        <w:tc>
          <w:tcPr>
            <w:tcW w:w="4560" w:type="dxa"/>
            <w:noWrap w:val="0"/>
            <w:tcMar>
              <w:top w:w="113" w:type="dxa"/>
              <w:left w:w="113" w:type="dxa"/>
              <w:bottom w:w="113" w:type="dxa"/>
              <w:right w:w="113" w:type="dxa"/>
            </w:tcMar>
            <w:vAlign w:val="top"/>
          </w:tcPr>
          <w:p w14:paraId="20D18A41">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编制人名称（盖章）：</w:t>
            </w:r>
          </w:p>
          <w:p w14:paraId="4DC4F268">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地    址： </w:t>
            </w:r>
          </w:p>
          <w:p w14:paraId="2B508FE9">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邮    编： </w:t>
            </w:r>
          </w:p>
          <w:p w14:paraId="2382CF3C">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电    话： </w:t>
            </w:r>
          </w:p>
          <w:p w14:paraId="0216B60D">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传    真：  </w:t>
            </w:r>
          </w:p>
          <w:p w14:paraId="5D7FAECD">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19FE9759">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帐    号：</w:t>
            </w:r>
          </w:p>
          <w:p w14:paraId="6E381067">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法定代表人或委托代理人(签字)：</w:t>
            </w:r>
          </w:p>
          <w:p w14:paraId="6F36C208">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p w14:paraId="2D4CF99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    月    日</w:t>
            </w:r>
          </w:p>
        </w:tc>
      </w:tr>
    </w:tbl>
    <w:p w14:paraId="0601BA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6E277A"/>
    <w:multiLevelType w:val="singleLevel"/>
    <w:tmpl w:val="476E277A"/>
    <w:lvl w:ilvl="0" w:tentative="0">
      <w:start w:val="4"/>
      <w:numFmt w:val="chineseCounting"/>
      <w:suff w:val="nothing"/>
      <w:lvlText w:val="%1、"/>
      <w:lvlJc w:val="left"/>
      <w:rPr>
        <w:rFonts w:hint="eastAsia"/>
      </w:rPr>
    </w:lvl>
  </w:abstractNum>
  <w:abstractNum w:abstractNumId="1">
    <w:nsid w:val="5F27AE81"/>
    <w:multiLevelType w:val="singleLevel"/>
    <w:tmpl w:val="5F27AE81"/>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2E1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Body Text Indent"/>
    <w:basedOn w:val="1"/>
    <w:uiPriority w:val="0"/>
    <w:pPr>
      <w:spacing w:line="640" w:lineRule="exact"/>
      <w:ind w:firstLine="585"/>
    </w:pPr>
    <w:rPr>
      <w:rFonts w:ascii="楷体_GB2312" w:eastAsia="楷体_GB2312"/>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7">
    <w:name w:val="Body Text First Indent 2"/>
    <w:basedOn w:val="4"/>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2025-12-11T06:45:30Z</dcterms:created>
  <dc:creator>Intel</dc:creator>
  <cp:lastModifiedBy>不予时光度流年</cp:lastModifiedBy>
  <dcterms:modified xsi:type="dcterms:W3CDTF">2025-12-11T06:45:47Z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eyJoZGlkIjoiY2I1NWQwMTlkZDFjNDVhYTYzMzg4YTdiM2YzMjBmMmEiLCJ1c2VySWQiOiIyNTA2MTA1MjgifQ==</vt:lpwstr>
  </property>
  <property fmtid="{D5CDD505-2E9C-101B-9397-08002B2CF9AE}" pid="4" name="ICV">
    <vt:lpwstr>EE92A827927C4AAFA400792C8208D879_12</vt:lpwstr>
  </property>
</Properties>
</file>