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版本号：CG-JMYC-2025-08220251211001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2025年度峡口镇等六个非疫点镇办枯死松树除治项目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CG-JMYC-2025-082</w:t>
      </w:r>
      <w:r>
        <w:br/>
      </w:r>
      <w:r>
        <w:br/>
      </w:r>
      <w:r>
        <w:br/>
      </w:r>
    </w:p>
    <w:p>
      <w:pPr>
        <w:pStyle w:val="null3"/>
        <w:jc w:val="center"/>
        <w:outlineLvl w:val="2"/>
      </w:pPr>
      <w:r>
        <w:rPr>
          <w:rFonts w:ascii="仿宋_GB2312" w:hAnsi="仿宋_GB2312" w:cs="仿宋_GB2312" w:eastAsia="仿宋_GB2312"/>
          <w:sz w:val="28"/>
          <w:b/>
        </w:rPr>
        <w:t>西乡县林业局</w:t>
      </w:r>
    </w:p>
    <w:p>
      <w:pPr>
        <w:pStyle w:val="null3"/>
        <w:jc w:val="center"/>
        <w:outlineLvl w:val="2"/>
      </w:pPr>
      <w:r>
        <w:rPr>
          <w:rFonts w:ascii="仿宋_GB2312" w:hAnsi="仿宋_GB2312" w:cs="仿宋_GB2312" w:eastAsia="仿宋_GB2312"/>
          <w:sz w:val="28"/>
          <w:b/>
        </w:rPr>
        <w:t>陕西金沐烨城项目管理有限公司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陕西金沐烨城项目管理有限公司</w:t>
      </w:r>
      <w:r>
        <w:rPr>
          <w:rFonts w:ascii="仿宋_GB2312" w:hAnsi="仿宋_GB2312" w:cs="仿宋_GB2312" w:eastAsia="仿宋_GB2312"/>
        </w:rPr>
        <w:t>（以下简称“代理机构”）受</w:t>
      </w:r>
      <w:r>
        <w:rPr>
          <w:rFonts w:ascii="仿宋_GB2312" w:hAnsi="仿宋_GB2312" w:cs="仿宋_GB2312" w:eastAsia="仿宋_GB2312"/>
        </w:rPr>
        <w:t>西乡县林业局</w:t>
      </w:r>
      <w:r>
        <w:rPr>
          <w:rFonts w:ascii="仿宋_GB2312" w:hAnsi="仿宋_GB2312" w:cs="仿宋_GB2312" w:eastAsia="仿宋_GB2312"/>
        </w:rPr>
        <w:t>委托，拟对</w:t>
      </w:r>
      <w:r>
        <w:rPr>
          <w:rFonts w:ascii="仿宋_GB2312" w:hAnsi="仿宋_GB2312" w:cs="仿宋_GB2312" w:eastAsia="仿宋_GB2312"/>
        </w:rPr>
        <w:t>2025年度峡口镇等六个非疫点镇办枯死松树除治项目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CG-JMYC-2025-082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2025年度峡口镇等六个非疫点镇办枯死松树除治项目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为巩固我县松材线虫病防控成效，根据松材线虫病发生情况，分类施策。对拔除疫点镇办开展巩固性除治，对非疫点镇办开展预防性除治，严防反弹和输入。</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采购包1（2025年度峡口镇等六个非疫点镇办枯死松树除治项目1包）：属于专门面向中小企业采购。</w:t>
      </w:r>
    </w:p>
    <w:p>
      <w:pPr>
        <w:pStyle w:val="null3"/>
      </w:pPr>
      <w:r>
        <w:rPr>
          <w:rFonts w:ascii="仿宋_GB2312" w:hAnsi="仿宋_GB2312" w:cs="仿宋_GB2312" w:eastAsia="仿宋_GB2312"/>
        </w:rPr>
        <w:t>采购包2（2025年度峡口镇等六个非疫点镇办枯死松树除治项目2包）：属于专门面向中小企业采购。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具有独立承担民事责任能力的企业法人、事业法人、其他组织或自然人，提供营业执照（事业单位须事业单位法人证、组织机构代码证等证明文件；其他组织应提供合法证明文件；自然人提供身份证明文件）；</w:t>
      </w:r>
    </w:p>
    <w:p>
      <w:pPr>
        <w:pStyle w:val="null3"/>
      </w:pPr>
      <w:r>
        <w:rPr>
          <w:rFonts w:ascii="仿宋_GB2312" w:hAnsi="仿宋_GB2312" w:cs="仿宋_GB2312" w:eastAsia="仿宋_GB2312"/>
        </w:rPr>
        <w:t>2、资质要求：供应商须具备陕西省林学会颁发的林业有害生物防治(应急防治专业队)丙级及以上资质证书；</w:t>
      </w:r>
    </w:p>
    <w:p>
      <w:pPr>
        <w:pStyle w:val="null3"/>
      </w:pPr>
      <w:r>
        <w:rPr>
          <w:rFonts w:ascii="仿宋_GB2312" w:hAnsi="仿宋_GB2312" w:cs="仿宋_GB2312" w:eastAsia="仿宋_GB2312"/>
        </w:rPr>
        <w:t>3、资格承诺：供应商具有良好的商业信誉和健全的财务会计制度，具有履行合同所必需的设备和专业技术能力，具有依法缴纳税收和社会保障金的良好记录，参加本项目采购活动前三年内无重大违法活动记录。供应商未列入信用中国网站“失信被执行人”、“重大税收违法案件当事人名单”中 （www.creditchina.gov.cn），也未列入中国政府采购网“政府采购严重违法失信行为记录名单”中（ www.ccgp.gov.cn），并按照汉财办采管[2024]20号文件要求，提供《汉中市政府采购供应商资格承诺函》；</w:t>
      </w:r>
    </w:p>
    <w:p>
      <w:pPr>
        <w:pStyle w:val="null3"/>
      </w:pPr>
      <w:r>
        <w:rPr>
          <w:rFonts w:ascii="仿宋_GB2312" w:hAnsi="仿宋_GB2312" w:cs="仿宋_GB2312" w:eastAsia="仿宋_GB2312"/>
        </w:rPr>
        <w:t>4、授权代表：供应商应授权合法的授权代表参加磋商全过程，其中法定代表人直接参加磋商的，须出具法定代表人证明书及法人身份证，法定代表人授权代表参加磋商的，须出具法定代表人授权书、授权代表本人身份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主体资格：供应商为具有独立承担民事责任能力的企业法人、事业法人、其他组织或自然人，提供营业执照（事业单位须事业单位法人证、组织机构代码证等证明文件；其他组织应提供合法证明文件；自然人提供身份证明文件）；</w:t>
      </w:r>
    </w:p>
    <w:p>
      <w:pPr>
        <w:pStyle w:val="null3"/>
      </w:pPr>
      <w:r>
        <w:rPr>
          <w:rFonts w:ascii="仿宋_GB2312" w:hAnsi="仿宋_GB2312" w:cs="仿宋_GB2312" w:eastAsia="仿宋_GB2312"/>
        </w:rPr>
        <w:t>2、资质要求：供应商须具备陕西省林学会颁发的林业有害生物防治(应急防治专业队)丙级及以上资质证书；</w:t>
      </w:r>
    </w:p>
    <w:p>
      <w:pPr>
        <w:pStyle w:val="null3"/>
      </w:pPr>
      <w:r>
        <w:rPr>
          <w:rFonts w:ascii="仿宋_GB2312" w:hAnsi="仿宋_GB2312" w:cs="仿宋_GB2312" w:eastAsia="仿宋_GB2312"/>
        </w:rPr>
        <w:t>3、资格承诺：供应商具有良好的商业信誉和健全的财务会计制度，具有履行合同所必需的设备和专业技术能力，具有依法缴纳税收和社会保障金的良好记录，参加本项目采购活动前三年内无重大违法活动记录。供应商未列入信用中国网站“失信被执行人”、“重大税收违法案件当事人名单”中 （www.creditchina.gov.cn），也未列入中国政府采购网“政府采购严重违法失信行为记录名单”中（ www.ccgp.gov.cn），并按照汉财办采管[2024]20号文件要求，提供《汉中市政府采购供应商资格承诺函》；</w:t>
      </w:r>
    </w:p>
    <w:p>
      <w:pPr>
        <w:pStyle w:val="null3"/>
      </w:pPr>
      <w:r>
        <w:rPr>
          <w:rFonts w:ascii="仿宋_GB2312" w:hAnsi="仿宋_GB2312" w:cs="仿宋_GB2312" w:eastAsia="仿宋_GB2312"/>
        </w:rPr>
        <w:t>4、授权代表：供应商应授权合法的授权代表参加磋商全过程，其中法定代表人直接参加磋商的，须出具法定代表人证明书及法人身份证，法定代表人授权代表参加磋商的，须出具法定代表人授权书、授权代表本人身份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西乡县林业局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西乡县城北街道办鹿龄路78号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汪孟英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13289619020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陕西金沐烨城项目管理有限公司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陕西省汉中市汉台区汉中路街道办事处南关正街汉上第一街12幢办公楼19层1-4室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18392621855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西乡县政府采购管理股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王文德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13991614866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采购包1：203,000.00元</w:t>
            </w:r>
          </w:p>
          <w:p>
            <w:pPr>
              <w:pStyle w:val="null3"/>
            </w:pPr>
            <w:r>
              <w:rPr>
                <w:rFonts w:ascii="仿宋_GB2312" w:hAnsi="仿宋_GB2312" w:cs="仿宋_GB2312" w:eastAsia="仿宋_GB2312"/>
              </w:rPr>
              <w:t>采购包2：259,840.00元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采购包2保证金金额：4,000.00元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开户名称：陕西金沐烨城项目管理有限公司</w:t>
            </w:r>
          </w:p>
          <w:p>
            <w:pPr>
              <w:pStyle w:val="null3"/>
            </w:pPr>
            <w:r>
              <w:rPr>
                <w:rFonts w:ascii="仿宋_GB2312" w:hAnsi="仿宋_GB2312" w:cs="仿宋_GB2312" w:eastAsia="仿宋_GB2312"/>
              </w:rPr>
              <w:t>开户银行：中国银行汉中陕西理工大学支行</w:t>
            </w:r>
          </w:p>
          <w:p>
            <w:pPr>
              <w:pStyle w:val="null3"/>
            </w:pPr>
            <w:r>
              <w:rPr>
                <w:rFonts w:ascii="仿宋_GB2312" w:hAnsi="仿宋_GB2312" w:cs="仿宋_GB2312" w:eastAsia="仿宋_GB2312"/>
              </w:rPr>
              <w:t>银行账号：1033 1398 3701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参照《招标代理服务收费管理暂行办法》计价[2002]1980号和《国家发展改革委员会办公厅关于招标代理服务收费有关问题的通知》（发改办价格〔2003〕857号）文件服务类标准计算。2、缴费采用银行转账方式一次性交纳。开户名称：陕西金沐烨城项目管理有限公司 开户银行：中国工商银行股份有限公司汉中北团结街支行 银行账号：2606050309200192113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西乡县林业局</w:t>
      </w:r>
      <w:r>
        <w:rPr>
          <w:rFonts w:ascii="仿宋_GB2312" w:hAnsi="仿宋_GB2312" w:cs="仿宋_GB2312" w:eastAsia="仿宋_GB2312"/>
        </w:rPr>
        <w:t>和</w:t>
      </w:r>
      <w:r>
        <w:rPr>
          <w:rFonts w:ascii="仿宋_GB2312" w:hAnsi="仿宋_GB2312" w:cs="仿宋_GB2312" w:eastAsia="仿宋_GB2312"/>
        </w:rPr>
        <w:t>陕西金沐烨城项目管理有限公司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西乡县林业局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陕西金沐烨城项目管理有限公司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西乡县林业局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陕西金沐烨城项目管理有限公司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依照合同约定执行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依照合同约定执行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陕西金沐烨城项目管理有限公司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陕西金沐烨城项目管理有限公司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陕西金沐烨城项目管理有限公司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联系人：陈强</w:t>
      </w:r>
    </w:p>
    <w:p>
      <w:pPr>
        <w:pStyle w:val="null3"/>
      </w:pPr>
      <w:r>
        <w:rPr>
          <w:rFonts w:ascii="仿宋_GB2312" w:hAnsi="仿宋_GB2312" w:cs="仿宋_GB2312" w:eastAsia="仿宋_GB2312"/>
        </w:rPr>
        <w:t>联系电话：18392621855</w:t>
      </w:r>
    </w:p>
    <w:p>
      <w:pPr>
        <w:pStyle w:val="null3"/>
      </w:pPr>
      <w:r>
        <w:rPr>
          <w:rFonts w:ascii="仿宋_GB2312" w:hAnsi="仿宋_GB2312" w:cs="仿宋_GB2312" w:eastAsia="仿宋_GB2312"/>
        </w:rPr>
        <w:t>地址：陕西省汉中市汉台区汉中路街道办事处南关正街汉上第一街12幢办公楼19层1-4室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为巩固我县松材线虫病防控成效，根据松材线虫病发生情况，对峡口镇等六个非疫点镇办开展预防性除治。</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203,000.00</w:t>
      </w:r>
    </w:p>
    <w:p>
      <w:pPr>
        <w:pStyle w:val="null3"/>
      </w:pPr>
      <w:r>
        <w:rPr>
          <w:rFonts w:ascii="仿宋_GB2312" w:hAnsi="仿宋_GB2312" w:cs="仿宋_GB2312" w:eastAsia="仿宋_GB2312"/>
        </w:rPr>
        <w:t>采购包最高限价（元）: 203,000.00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茶镇、两河口镇、子午镇枯死松树除治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203,000.00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259,840.00</w:t>
      </w:r>
    </w:p>
    <w:p>
      <w:pPr>
        <w:pStyle w:val="null3"/>
      </w:pPr>
      <w:r>
        <w:rPr>
          <w:rFonts w:ascii="仿宋_GB2312" w:hAnsi="仿宋_GB2312" w:cs="仿宋_GB2312" w:eastAsia="仿宋_GB2312"/>
        </w:rPr>
        <w:t>采购包最高限价（元）: 259,840.00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峡口镇、私渡镇、骆家坝枯死松树除治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259,840.00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标的名称：茶镇、两河口镇、子午镇枯死松树除治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（一）总体目标</w:t>
            </w:r>
          </w:p>
          <w:p>
            <w:pPr>
              <w:pStyle w:val="null3"/>
            </w:pPr>
            <w:r>
              <w:rPr>
                <w:rFonts w:ascii="仿宋_GB2312" w:hAnsi="仿宋_GB2312" w:cs="仿宋_GB2312" w:eastAsia="仿宋_GB2312"/>
              </w:rPr>
              <w:t>根据《松材线虫病防治技术方案》（2024年版），按照中省市相关要求，结合我县实际，对项目区内枯死松树开展即死即清除治，达到“三彻底一规范”的目标要求，即枯死木除治彻底、山场清理彻底、伐倒枯死木销毁彻底、伐桩处理规范，顺利通过中省市县核查验收。</w:t>
            </w:r>
          </w:p>
          <w:p>
            <w:pPr>
              <w:pStyle w:val="null3"/>
            </w:pPr>
            <w:r>
              <w:rPr>
                <w:rFonts w:ascii="仿宋_GB2312" w:hAnsi="仿宋_GB2312" w:cs="仿宋_GB2312" w:eastAsia="仿宋_GB2312"/>
              </w:rPr>
              <w:t>（二）重点任务</w:t>
            </w:r>
          </w:p>
          <w:p>
            <w:pPr>
              <w:pStyle w:val="null3"/>
            </w:pPr>
            <w:r>
              <w:rPr>
                <w:rFonts w:ascii="仿宋_GB2312" w:hAnsi="仿宋_GB2312" w:cs="仿宋_GB2312" w:eastAsia="仿宋_GB2312"/>
              </w:rPr>
              <w:t>1.枯死除治清理。严格执行《松材线虫病疫区疫木管理办法》和《松材线虫病防治技术方案》，在合同期内，对项目区域发现的所有枯死松树开展即死即清除治，坚持枯死松树除治彻底、山场清理彻底、伐倒木销毁彻底、伐桩处理规范“三彻底一规范”标准。</w:t>
            </w:r>
          </w:p>
          <w:p>
            <w:pPr>
              <w:pStyle w:val="null3"/>
            </w:pPr>
            <w:r>
              <w:rPr>
                <w:rFonts w:ascii="仿宋_GB2312" w:hAnsi="仿宋_GB2312" w:cs="仿宋_GB2312" w:eastAsia="仿宋_GB2312"/>
              </w:rPr>
              <w:t>2.严格管理。按照规定和技术标准开展枯死松树除治销毁工作，加强除治的枯死木监管，杜绝枯死木从除治山场流失。</w:t>
            </w:r>
          </w:p>
          <w:p>
            <w:pPr>
              <w:pStyle w:val="null3"/>
            </w:pPr>
            <w:r>
              <w:rPr>
                <w:rFonts w:ascii="仿宋_GB2312" w:hAnsi="仿宋_GB2312" w:cs="仿宋_GB2312" w:eastAsia="仿宋_GB2312"/>
              </w:rPr>
              <w:t>3.档案管理。项目实施单位要建立除治台账及工作图片和影像资料，形成纸质版、电子版档案备查。</w:t>
            </w:r>
          </w:p>
          <w:p>
            <w:pPr>
              <w:pStyle w:val="null3"/>
            </w:pPr>
            <w:r>
              <w:rPr>
                <w:rFonts w:ascii="仿宋_GB2312" w:hAnsi="仿宋_GB2312" w:cs="仿宋_GB2312" w:eastAsia="仿宋_GB2312"/>
              </w:rPr>
              <w:t>4.配合做好各级各部门对我县松材线虫病防治工作的检查、督查、核查等工作。</w:t>
            </w:r>
          </w:p>
          <w:p>
            <w:pPr>
              <w:pStyle w:val="null3"/>
            </w:pPr>
            <w:r>
              <w:rPr>
                <w:rFonts w:ascii="仿宋_GB2312" w:hAnsi="仿宋_GB2312" w:cs="仿宋_GB2312" w:eastAsia="仿宋_GB2312"/>
              </w:rPr>
              <w:t>（三）技术依据</w:t>
            </w:r>
          </w:p>
          <w:p>
            <w:pPr>
              <w:pStyle w:val="null3"/>
            </w:pPr>
            <w:r>
              <w:rPr>
                <w:rFonts w:ascii="仿宋_GB2312" w:hAnsi="仿宋_GB2312" w:cs="仿宋_GB2312" w:eastAsia="仿宋_GB2312"/>
              </w:rPr>
              <w:t>3.1.《松材线虫病防治技术方案》；</w:t>
            </w:r>
          </w:p>
          <w:p>
            <w:pPr>
              <w:pStyle w:val="null3"/>
            </w:pPr>
            <w:r>
              <w:rPr>
                <w:rFonts w:ascii="仿宋_GB2312" w:hAnsi="仿宋_GB2312" w:cs="仿宋_GB2312" w:eastAsia="仿宋_GB2312"/>
              </w:rPr>
              <w:t>3.2.《松材线虫病疫区和疫木管理办法》；</w:t>
            </w:r>
          </w:p>
          <w:p>
            <w:pPr>
              <w:pStyle w:val="null3"/>
            </w:pPr>
            <w:r>
              <w:rPr>
                <w:rFonts w:ascii="仿宋_GB2312" w:hAnsi="仿宋_GB2312" w:cs="仿宋_GB2312" w:eastAsia="仿宋_GB2312"/>
              </w:rPr>
              <w:t>3.3.《森林病虫害防治条例》；</w:t>
            </w:r>
          </w:p>
          <w:p>
            <w:pPr>
              <w:pStyle w:val="null3"/>
            </w:pPr>
            <w:r>
              <w:rPr>
                <w:rFonts w:ascii="仿宋_GB2312" w:hAnsi="仿宋_GB2312" w:cs="仿宋_GB2312" w:eastAsia="仿宋_GB2312"/>
              </w:rPr>
              <w:t>3.4.《植物检疫条例》；</w:t>
            </w:r>
          </w:p>
          <w:p>
            <w:pPr>
              <w:pStyle w:val="null3"/>
            </w:pPr>
            <w:r>
              <w:rPr>
                <w:rFonts w:ascii="仿宋_GB2312" w:hAnsi="仿宋_GB2312" w:cs="仿宋_GB2312" w:eastAsia="仿宋_GB2312"/>
              </w:rPr>
              <w:t>3.5.国家、省、市林业部门相关技术规程及文件要求。</w:t>
            </w:r>
          </w:p>
          <w:p>
            <w:pPr>
              <w:pStyle w:val="null3"/>
            </w:pPr>
            <w:r>
              <w:rPr>
                <w:rFonts w:ascii="仿宋_GB2312" w:hAnsi="仿宋_GB2312" w:cs="仿宋_GB2312" w:eastAsia="仿宋_GB2312"/>
              </w:rPr>
              <w:t>（四）主要技术措施：</w:t>
            </w:r>
          </w:p>
          <w:p>
            <w:pPr>
              <w:pStyle w:val="null3"/>
            </w:pPr>
            <w:r>
              <w:rPr>
                <w:rFonts w:ascii="仿宋_GB2312" w:hAnsi="仿宋_GB2312" w:cs="仿宋_GB2312" w:eastAsia="仿宋_GB2312"/>
              </w:rPr>
              <w:t>4.1.枯死木采伐。发现枯死、濒死松树及时进行集中除治清理和“即死即清”,按技术标准要求彻底销毁枯死木，做到随发现随除治、应除尽除。</w:t>
            </w:r>
          </w:p>
          <w:p>
            <w:pPr>
              <w:pStyle w:val="null3"/>
            </w:pPr>
            <w:r>
              <w:rPr>
                <w:rFonts w:ascii="仿宋_GB2312" w:hAnsi="仿宋_GB2312" w:cs="仿宋_GB2312" w:eastAsia="仿宋_GB2312"/>
              </w:rPr>
              <w:t>4.2.枯死木销毁。结合我县地形及疫点分布情况，枯死木采用烧毁处理的方式。 枯死木伐倒后，将主干切割成1—2m长的段木，对直径1cm以上的枝桠、树皮和厚度1cm以上的木块必须全部清理集中就近及时进行除害处理(集中除治时期， 需要在媒介昆虫羽化前全部处置完毕；即死即清时，必须按照当日采伐当日销毁的要求进行处置),并实行全过程现场监管，确保烧毁彻底和用火安全。</w:t>
            </w:r>
          </w:p>
          <w:p>
            <w:pPr>
              <w:pStyle w:val="null3"/>
            </w:pPr>
            <w:r>
              <w:rPr>
                <w:rFonts w:ascii="仿宋_GB2312" w:hAnsi="仿宋_GB2312" w:cs="仿宋_GB2312" w:eastAsia="仿宋_GB2312"/>
              </w:rPr>
              <w:t>4.3.伐桩处理。枯死木伐倒后，要立即处理伐桩，其高度距离地面不得超过5cm,剥去伐桩树皮，在伐桩上放置磷化铝片1—2粒，用0.1毫米以上厚度的塑料薄膜覆盖，绑紧后用土将塑料薄膜四周压实，主要进行密封熏蒸，杀灭松材线虫、松褐天牛，清除伐桩病源和媒介昆虫。或剥去伐桩树皮，使用钢丝直径≥0.12毫米，网目数≥20目的锻压钢丝网罩覆盖伐桩，并将钢丝网罩严密固定在伐桩上。</w:t>
            </w:r>
          </w:p>
          <w:p>
            <w:pPr>
              <w:pStyle w:val="null3"/>
            </w:pPr>
            <w:r>
              <w:rPr>
                <w:rFonts w:ascii="仿宋_GB2312" w:hAnsi="仿宋_GB2312" w:cs="仿宋_GB2312" w:eastAsia="仿宋_GB2312"/>
              </w:rPr>
              <w:t>4.4.档案管理。绩效承包单位要建立除治地块、除治范围、 施工责任、枯死木清理销毁、伐桩处理等工作台账，建立各除治小班的枯死木除治前和除治过程的枯死木烧毁、伐桩处理影像资料和纸质资料及施工日志备查，严禁砍伐松树转移地点或烧毁不彻底的现象发生，确保各级检查验收合格。</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标的名称：峡口镇、私渡镇、骆家坝枯死松树除治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（一）总体目标</w:t>
            </w:r>
          </w:p>
          <w:p>
            <w:pPr>
              <w:pStyle w:val="null3"/>
            </w:pPr>
            <w:r>
              <w:rPr>
                <w:rFonts w:ascii="仿宋_GB2312" w:hAnsi="仿宋_GB2312" w:cs="仿宋_GB2312" w:eastAsia="仿宋_GB2312"/>
              </w:rPr>
              <w:t>根据《松材线虫病防治技术方案》（2024年版），按照中省市相关要求，结合我县实际，对项目区内枯死松树开展即死即清除治，达到“三彻底一规范”的目标要求，即枯死木除治彻底、山场清理彻底、伐倒枯死木销毁彻底、伐桩处理规范，顺利通过中省市县核查验收。</w:t>
            </w:r>
          </w:p>
          <w:p>
            <w:pPr>
              <w:pStyle w:val="null3"/>
            </w:pPr>
            <w:r>
              <w:rPr>
                <w:rFonts w:ascii="仿宋_GB2312" w:hAnsi="仿宋_GB2312" w:cs="仿宋_GB2312" w:eastAsia="仿宋_GB2312"/>
              </w:rPr>
              <w:t>（二）重点任务</w:t>
            </w:r>
          </w:p>
          <w:p>
            <w:pPr>
              <w:pStyle w:val="null3"/>
            </w:pPr>
            <w:r>
              <w:rPr>
                <w:rFonts w:ascii="仿宋_GB2312" w:hAnsi="仿宋_GB2312" w:cs="仿宋_GB2312" w:eastAsia="仿宋_GB2312"/>
              </w:rPr>
              <w:t>1.枯死除治清理。严格执行《松材线虫病疫区疫木管理办法》和《松材线虫病防治技术方案》，在合同期内，对项目区域发现的所有枯死松树开展即死即清除治，坚持枯死松树除治彻底、山场清理彻底、伐倒木销毁彻底、伐桩处理规范“三彻底一规范”标准。</w:t>
            </w:r>
          </w:p>
          <w:p>
            <w:pPr>
              <w:pStyle w:val="null3"/>
            </w:pPr>
            <w:r>
              <w:rPr>
                <w:rFonts w:ascii="仿宋_GB2312" w:hAnsi="仿宋_GB2312" w:cs="仿宋_GB2312" w:eastAsia="仿宋_GB2312"/>
              </w:rPr>
              <w:t>2.严格管理。按照规定和技术标准开展枯死松树除治销毁工作，加强除治的枯死木监管，杜绝枯死木从除治山场流失。</w:t>
            </w:r>
          </w:p>
          <w:p>
            <w:pPr>
              <w:pStyle w:val="null3"/>
            </w:pPr>
            <w:r>
              <w:rPr>
                <w:rFonts w:ascii="仿宋_GB2312" w:hAnsi="仿宋_GB2312" w:cs="仿宋_GB2312" w:eastAsia="仿宋_GB2312"/>
              </w:rPr>
              <w:t>3.档案管理。项目实施单位要建立除治台账及工作图片和影像资料，形成纸质版、电子版档案备查。</w:t>
            </w:r>
          </w:p>
          <w:p>
            <w:pPr>
              <w:pStyle w:val="null3"/>
            </w:pPr>
            <w:r>
              <w:rPr>
                <w:rFonts w:ascii="仿宋_GB2312" w:hAnsi="仿宋_GB2312" w:cs="仿宋_GB2312" w:eastAsia="仿宋_GB2312"/>
              </w:rPr>
              <w:t>4.配合做好各级各部门对我县松材线虫病防治工作的检查、督查、核查等工作。</w:t>
            </w:r>
          </w:p>
          <w:p>
            <w:pPr>
              <w:pStyle w:val="null3"/>
            </w:pPr>
            <w:r>
              <w:rPr>
                <w:rFonts w:ascii="仿宋_GB2312" w:hAnsi="仿宋_GB2312" w:cs="仿宋_GB2312" w:eastAsia="仿宋_GB2312"/>
              </w:rPr>
              <w:t>（三）技术依据</w:t>
            </w:r>
          </w:p>
          <w:p>
            <w:pPr>
              <w:pStyle w:val="null3"/>
            </w:pPr>
            <w:r>
              <w:rPr>
                <w:rFonts w:ascii="仿宋_GB2312" w:hAnsi="仿宋_GB2312" w:cs="仿宋_GB2312" w:eastAsia="仿宋_GB2312"/>
              </w:rPr>
              <w:t>3.1.《松材线虫病防治技术方案》；</w:t>
            </w:r>
          </w:p>
          <w:p>
            <w:pPr>
              <w:pStyle w:val="null3"/>
            </w:pPr>
            <w:r>
              <w:rPr>
                <w:rFonts w:ascii="仿宋_GB2312" w:hAnsi="仿宋_GB2312" w:cs="仿宋_GB2312" w:eastAsia="仿宋_GB2312"/>
              </w:rPr>
              <w:t>3.2.《松材线虫病疫区和疫木管理办法》；</w:t>
            </w:r>
          </w:p>
          <w:p>
            <w:pPr>
              <w:pStyle w:val="null3"/>
            </w:pPr>
            <w:r>
              <w:rPr>
                <w:rFonts w:ascii="仿宋_GB2312" w:hAnsi="仿宋_GB2312" w:cs="仿宋_GB2312" w:eastAsia="仿宋_GB2312"/>
              </w:rPr>
              <w:t>3.3.《森林病虫害防治条例》；</w:t>
            </w:r>
          </w:p>
          <w:p>
            <w:pPr>
              <w:pStyle w:val="null3"/>
            </w:pPr>
            <w:r>
              <w:rPr>
                <w:rFonts w:ascii="仿宋_GB2312" w:hAnsi="仿宋_GB2312" w:cs="仿宋_GB2312" w:eastAsia="仿宋_GB2312"/>
              </w:rPr>
              <w:t>3.4.《植物检疫条例》；</w:t>
            </w:r>
          </w:p>
          <w:p>
            <w:pPr>
              <w:pStyle w:val="null3"/>
            </w:pPr>
            <w:r>
              <w:rPr>
                <w:rFonts w:ascii="仿宋_GB2312" w:hAnsi="仿宋_GB2312" w:cs="仿宋_GB2312" w:eastAsia="仿宋_GB2312"/>
              </w:rPr>
              <w:t>3.5.国家、省、市林业部门相关技术规程及文件要求。</w:t>
            </w:r>
          </w:p>
          <w:p>
            <w:pPr>
              <w:pStyle w:val="null3"/>
            </w:pPr>
            <w:r>
              <w:rPr>
                <w:rFonts w:ascii="仿宋_GB2312" w:hAnsi="仿宋_GB2312" w:cs="仿宋_GB2312" w:eastAsia="仿宋_GB2312"/>
              </w:rPr>
              <w:t>（四）主要技术措施：</w:t>
            </w:r>
          </w:p>
          <w:p>
            <w:pPr>
              <w:pStyle w:val="null3"/>
            </w:pPr>
            <w:r>
              <w:rPr>
                <w:rFonts w:ascii="仿宋_GB2312" w:hAnsi="仿宋_GB2312" w:cs="仿宋_GB2312" w:eastAsia="仿宋_GB2312"/>
              </w:rPr>
              <w:t>4.1.枯死木采伐。发现枯死、濒死松树及时进行集中除治清理和“即死即清”,按技术标准要求彻底销毁枯死木，做到随发现随除治、应除尽除。</w:t>
            </w:r>
          </w:p>
          <w:p>
            <w:pPr>
              <w:pStyle w:val="null3"/>
            </w:pPr>
            <w:r>
              <w:rPr>
                <w:rFonts w:ascii="仿宋_GB2312" w:hAnsi="仿宋_GB2312" w:cs="仿宋_GB2312" w:eastAsia="仿宋_GB2312"/>
              </w:rPr>
              <w:t>4.2.枯死木销毁。结合我县地形及疫点分布情况，枯死木采用烧毁处理的方式。 枯死木伐倒后，将主干切割成1—2m长的段木，对直径1cm以上的枝桠、树皮和厚度1cm以上的木块必须全部清理集中就近及时进行除害处理(集中除治时期， 需要在媒介昆虫羽化前全部处置完毕；即死即清时，必须按照当日采伐当日销毁的要求进行处置),并实行全过程现场监管，确保烧毁彻底和用火安全。</w:t>
            </w:r>
          </w:p>
          <w:p>
            <w:pPr>
              <w:pStyle w:val="null3"/>
            </w:pPr>
            <w:r>
              <w:rPr>
                <w:rFonts w:ascii="仿宋_GB2312" w:hAnsi="仿宋_GB2312" w:cs="仿宋_GB2312" w:eastAsia="仿宋_GB2312"/>
              </w:rPr>
              <w:t>4.3.伐桩处理。枯死木伐倒后，要立即处理伐桩，其高度距离地面不得超过5cm,剥去伐桩树皮，在伐桩上放置磷化铝片1—2粒，用0.1毫米以上厚度的塑料薄膜覆盖，绑紧后用土将塑料薄膜四周压实，主要进行密封熏蒸，杀灭松材线虫、松褐天牛，清除伐桩病源和媒介昆虫。或剥去伐桩树皮，使用钢丝直径≥0.12毫米，网目数≥20目的锻压钢丝网罩覆盖伐桩，并将钢丝网罩严密固定在伐桩上。</w:t>
            </w:r>
          </w:p>
          <w:p>
            <w:pPr>
              <w:pStyle w:val="null3"/>
            </w:pPr>
            <w:r>
              <w:rPr>
                <w:rFonts w:ascii="仿宋_GB2312" w:hAnsi="仿宋_GB2312" w:cs="仿宋_GB2312" w:eastAsia="仿宋_GB2312"/>
              </w:rPr>
              <w:t>4.4.档案管理。绩效承包单位要建立除治地块、除治范围、 施工责任、枯死木清理销毁、伐桩处理等工作台账，建立各除治小班的枯死木除治前和除治过程的枯死木烧毁、伐桩处理影像资料和纸质资料及施工日志备查，严禁砍伐松树转移地点或烧毁不彻底的现象发生，确保各级检查验收合格。</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供应商按需自行配置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供应商按需自行配置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供应商按需自行配置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供应商按需自行配置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合同签订之日起至2026年8月31日前完成。</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合同签订之日起至2026年8月31日前完成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达到“三彻底一规范”的目标要求， 即枯死木除治彻底、 山场清理彻底、 伐倒疫木销毁彻底、 伐桩处理规范。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达到“三彻底一规范”的目标要求， 即枯死木除治彻底、 山场清理彻底、 伐倒疫木销毁彻底、 伐桩处理规范。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项目通过验收后，且资金到位</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项目通过验收后，且资金到位</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依照合同约定执行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依照合同约定执行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具有独立承担民事责任能力的企业法人、事业法人、其他组织或自然人，提供营业执照（事业单位须事业单位法人证、组织机构代码证等证明文件；其他组织应提供合法证明文件；自然人提供身份证明文件）；</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供应商须具备陕西省林学会颁发的林业有害生物防治(应急防治专业队)丙级及以上资质证书；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资格承诺</w:t>
            </w:r>
          </w:p>
        </w:tc>
        <w:tc>
          <w:tcPr>
            <w:tcW w:type="dxa" w:w="3322"/>
          </w:tcPr>
          <w:p>
            <w:pPr>
              <w:pStyle w:val="null3"/>
            </w:pPr>
            <w:r>
              <w:rPr>
                <w:rFonts w:ascii="仿宋_GB2312" w:hAnsi="仿宋_GB2312" w:cs="仿宋_GB2312" w:eastAsia="仿宋_GB2312"/>
              </w:rPr>
              <w:t>供应商具有良好的商业信誉和健全的财务会计制度，具有履行合同所必需的设备和专业技术能力，具有依法缴纳税收和社会保障金的良好记录，参加本项目采购活动前三年内无重大违法活动记录。供应商未列入信用中国网站“失信被执行人”、“重大税收违法案件当事人名单”中 （www.creditchina.gov.cn），也未列入中国政府采购网“政府采购严重违法失信行为记录名单”中（ www.ccgp.gov.cn），并按照汉财办采管[2024]20号文件要求，提供《汉中市政府采购供应商资格承诺函》；</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授权代表</w:t>
            </w:r>
          </w:p>
        </w:tc>
        <w:tc>
          <w:tcPr>
            <w:tcW w:type="dxa" w:w="3322"/>
          </w:tcPr>
          <w:p>
            <w:pPr>
              <w:pStyle w:val="null3"/>
            </w:pPr>
            <w:r>
              <w:rPr>
                <w:rFonts w:ascii="仿宋_GB2312" w:hAnsi="仿宋_GB2312" w:cs="仿宋_GB2312" w:eastAsia="仿宋_GB2312"/>
              </w:rPr>
              <w:t>供应商应授权合法的授权代表参加磋商全过程，其中法定代表人直接参加磋商的，须出具法定代表人证明书及法人身份证，法定代表人授权代表参加磋商的，须出具法定代表人授权书、授权代表本人身份证；</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具有独立承担民事责任能力的企业法人、事业法人、其他组织或自然人，提供营业执照（事业单位须事业单位法人证、组织机构代码证等证明文件；其他组织应提供合法证明文件；自然人提供身份证明文件）；</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供应商须具备陕西省林学会颁发的林业有害生物防治(应急防治专业队)丙级及以上资质证书；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资格承诺</w:t>
            </w:r>
          </w:p>
        </w:tc>
        <w:tc>
          <w:tcPr>
            <w:tcW w:type="dxa" w:w="3322"/>
          </w:tcPr>
          <w:p>
            <w:pPr>
              <w:pStyle w:val="null3"/>
            </w:pPr>
            <w:r>
              <w:rPr>
                <w:rFonts w:ascii="仿宋_GB2312" w:hAnsi="仿宋_GB2312" w:cs="仿宋_GB2312" w:eastAsia="仿宋_GB2312"/>
              </w:rPr>
              <w:t>供应商具有良好的商业信誉和健全的财务会计制度，具有履行合同所必需的设备和专业技术能力，具有依法缴纳税收和社会保障金的良好记录，参加本项目采购活动前三年内无重大违法活动记录。供应商未列入信用中国网站“失信被执行人”、“重大税收违法案件当事人名单”中 （www.creditchina.gov.cn），也未列入中国政府采购网“政府采购严重违法失信行为记录名单”中（ www.ccgp.gov.cn），并按照汉财办采管[2024]20号文件要求，提供《汉中市政府采购供应商资格承诺函》；</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授权代表</w:t>
            </w:r>
          </w:p>
        </w:tc>
        <w:tc>
          <w:tcPr>
            <w:tcW w:type="dxa" w:w="3322"/>
          </w:tcPr>
          <w:p>
            <w:pPr>
              <w:pStyle w:val="null3"/>
            </w:pPr>
            <w:r>
              <w:rPr>
                <w:rFonts w:ascii="仿宋_GB2312" w:hAnsi="仿宋_GB2312" w:cs="仿宋_GB2312" w:eastAsia="仿宋_GB2312"/>
              </w:rPr>
              <w:t>供应商应授权合法的授权代表参加磋商全过程，其中法定代表人直接参加磋商的，须出具法定代表人证明书及法人身份证，法定代表人授权代表参加磋商的，须出具法定代表人授权书、授权代表本人身份证；</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投标保证金 服务内容及服务邀请应答表 类似项目业绩一览表 中小企业声明函 商务应答表 报价表 响应文件封面 资格证明文件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投标报价唯一且未超出采购预算</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投标保证金 服务内容及服务邀请应答表 类似项目业绩一览表 中小企业声明函 商务应答表 报价表 响应文件封面 资格证明文件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投标无效条件：磋商保证金未提交或金额、形式不符合磋商文件要求的</w:t>
            </w:r>
          </w:p>
        </w:tc>
        <w:tc>
          <w:tcPr>
            <w:tcW w:type="dxa" w:w="1661"/>
          </w:tcPr>
          <w:p>
            <w:pPr>
              <w:pStyle w:val="null3"/>
            </w:pPr>
            <w:r>
              <w:rPr>
                <w:rFonts w:ascii="仿宋_GB2312" w:hAnsi="仿宋_GB2312" w:cs="仿宋_GB2312" w:eastAsia="仿宋_GB2312"/>
              </w:rPr>
              <w:t>投标保证金</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符合招标文件签署盖章要求</w:t>
            </w:r>
          </w:p>
        </w:tc>
        <w:tc>
          <w:tcPr>
            <w:tcW w:type="dxa" w:w="1661"/>
          </w:tcPr>
          <w:p>
            <w:pPr>
              <w:pStyle w:val="null3"/>
            </w:pPr>
            <w:r>
              <w:rPr>
                <w:rFonts w:ascii="仿宋_GB2312" w:hAnsi="仿宋_GB2312" w:cs="仿宋_GB2312" w:eastAsia="仿宋_GB2312"/>
              </w:rPr>
              <w:t>投标保证金 服务内容及服务邀请应答表 类似项目业绩一览表 中小企业声明函 商务应答表 报价表 响应文件封面 资格证明文件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投标报价唯一且未超出采购预算</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投标保证金 服务内容及服务邀请应答表 类似项目业绩一览表 中小企业声明函 商务应答表 报价表 响应文件封面 资格证明文件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投标无效条件：磋商保证金未提交或金额、形式不符合磋商文件要求的</w:t>
            </w:r>
          </w:p>
        </w:tc>
        <w:tc>
          <w:tcPr>
            <w:tcW w:type="dxa" w:w="1661"/>
          </w:tcPr>
          <w:p>
            <w:pPr>
              <w:pStyle w:val="null3"/>
            </w:pPr>
            <w:r>
              <w:rPr>
                <w:rFonts w:ascii="仿宋_GB2312" w:hAnsi="仿宋_GB2312" w:cs="仿宋_GB2312" w:eastAsia="仿宋_GB2312"/>
              </w:rPr>
              <w:t>投标保证金</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对本项目的进行解读和分析</w:t>
            </w:r>
          </w:p>
        </w:tc>
        <w:tc>
          <w:tcPr>
            <w:tcW w:type="dxa" w:w="2492"/>
          </w:tcPr>
          <w:p>
            <w:pPr>
              <w:pStyle w:val="null3"/>
            </w:pPr>
            <w:r>
              <w:rPr>
                <w:rFonts w:ascii="仿宋_GB2312" w:hAnsi="仿宋_GB2312" w:cs="仿宋_GB2312" w:eastAsia="仿宋_GB2312"/>
              </w:rPr>
              <w:t>内容包括①工作目的②工作目标③工作内容④工作方法。各部分内容全面详细、阐述条理清晰详尽、符合本项目采购需求，能保障本项目实施得20分；评审内容每缺一项扣5分，评审内容有缺陷未完全响应评审标准的扣1.5-4分。（备注：缺陷是指内容不合理、 虽有内容但不完善、 内容表述前后不一致、 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对本项目重点难点分析及提供解决方案</w:t>
            </w:r>
          </w:p>
        </w:tc>
        <w:tc>
          <w:tcPr>
            <w:tcW w:type="dxa" w:w="2492"/>
          </w:tcPr>
          <w:p>
            <w:pPr>
              <w:pStyle w:val="null3"/>
            </w:pPr>
            <w:r>
              <w:rPr>
                <w:rFonts w:ascii="仿宋_GB2312" w:hAnsi="仿宋_GB2312" w:cs="仿宋_GB2312" w:eastAsia="仿宋_GB2312"/>
              </w:rPr>
              <w:t>内容包括①重点分析②难点分析③解决方案。各部分内容全面详细、阐述条理清晰详尽、符合本项目采购需求，能保障本项目实施得15分；评审内容每缺一项扣5分，评审内容有缺陷未完全响应评审标准的扣1.5-4分。（备注：缺陷是指内容不合理、 虽有内容但不完善、 内容表述前后不一致、 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对服务内容提供具体详细可行的实施服务方案</w:t>
            </w:r>
          </w:p>
        </w:tc>
        <w:tc>
          <w:tcPr>
            <w:tcW w:type="dxa" w:w="2492"/>
          </w:tcPr>
          <w:p>
            <w:pPr>
              <w:pStyle w:val="null3"/>
            </w:pPr>
            <w:r>
              <w:rPr>
                <w:rFonts w:ascii="仿宋_GB2312" w:hAnsi="仿宋_GB2312" w:cs="仿宋_GB2312" w:eastAsia="仿宋_GB2312"/>
              </w:rPr>
              <w:t>内容包括①现状分析②方案总体思路③开展项目评估方法④规划流程思路。各部分内容全面详细、阐述条理清晰详尽、符合本项目采购需求，能保障本项目实施得20分；评审内容每缺一项扣5分，评审内容有缺陷未完全响应评审标准的扣1.5-4分。（备注：缺陷是指内容不合理、 虽有内容但不完善、 内容表述前后不一致、 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对本项目的工作进度安排提供实时方案</w:t>
            </w:r>
          </w:p>
        </w:tc>
        <w:tc>
          <w:tcPr>
            <w:tcW w:type="dxa" w:w="2492"/>
          </w:tcPr>
          <w:p>
            <w:pPr>
              <w:pStyle w:val="null3"/>
            </w:pPr>
            <w:r>
              <w:rPr>
                <w:rFonts w:ascii="仿宋_GB2312" w:hAnsi="仿宋_GB2312" w:cs="仿宋_GB2312" w:eastAsia="仿宋_GB2312"/>
              </w:rPr>
              <w:t>内容包括①进度安排；②工作组织程序。各部分内容全面详细、阐述条理清晰详尽、符合本项目采购需求，能保障本项目实施得10分；评审内容每缺一项扣5分，评审内容有缺陷未完全响应评审标准的扣1.5-4分。（备注：缺陷是指内容不合理、 虽有内容但不完善、 内容表述前后不一致、 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对本项目采购需求提供项目团队情况</w:t>
            </w:r>
          </w:p>
        </w:tc>
        <w:tc>
          <w:tcPr>
            <w:tcW w:type="dxa" w:w="2492"/>
          </w:tcPr>
          <w:p>
            <w:pPr>
              <w:pStyle w:val="null3"/>
            </w:pPr>
            <w:r>
              <w:rPr>
                <w:rFonts w:ascii="仿宋_GB2312" w:hAnsi="仿宋_GB2312" w:cs="仿宋_GB2312" w:eastAsia="仿宋_GB2312"/>
              </w:rPr>
              <w:t>内容包括①人员配备情况②业务知识构架③管理组织架构④岗位职责分工（提供相关证明资料）。各部分内容全面详细、阐述条理清晰详尽、符合本项目采购需求，能保障本项目实施得20分；评审内容每缺一项扣5分，评审内容有缺陷未完全响应评审标准的扣1.5-4分。（备注：缺陷是指内容不合理、 虽有内容但不完善、 内容表述前后不一致、 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提供投标人近三年以来同类项目业绩合同及业绩证明资料，每提供一份得2.5分，最多5分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以满足磋商文件要求且投标价格最低的投标总报价为评标基准价，其价格分为满分10分。其他供应商的价格分统一按照下列公式计算：投标报价得分=(评标基准价／投标总报价)×100×10%。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对本项目的进行解读和分析</w:t>
            </w:r>
          </w:p>
        </w:tc>
        <w:tc>
          <w:tcPr>
            <w:tcW w:type="dxa" w:w="2492"/>
          </w:tcPr>
          <w:p>
            <w:pPr>
              <w:pStyle w:val="null3"/>
            </w:pPr>
            <w:r>
              <w:rPr>
                <w:rFonts w:ascii="仿宋_GB2312" w:hAnsi="仿宋_GB2312" w:cs="仿宋_GB2312" w:eastAsia="仿宋_GB2312"/>
              </w:rPr>
              <w:t>内容包括①工作目的②工作目标③工作内容④工作方法。各部分内容全面详细、阐述条理清晰详尽、符合本项目采购需求，能保障本项目实施得20分；评审内容每缺一项扣5分，评审内容有缺陷未完全响应评审标准的扣1.5-4分。（备注：缺陷是指内容不合理、 虽有内容但不完善、 内容表述前后不一致、 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对本项目重点难点分析及提供解决方案</w:t>
            </w:r>
          </w:p>
        </w:tc>
        <w:tc>
          <w:tcPr>
            <w:tcW w:type="dxa" w:w="2492"/>
          </w:tcPr>
          <w:p>
            <w:pPr>
              <w:pStyle w:val="null3"/>
            </w:pPr>
            <w:r>
              <w:rPr>
                <w:rFonts w:ascii="仿宋_GB2312" w:hAnsi="仿宋_GB2312" w:cs="仿宋_GB2312" w:eastAsia="仿宋_GB2312"/>
              </w:rPr>
              <w:t>内容包括①重点分析②难点分析③解决方案。各部分内容全面详细、阐述条理清晰详尽、符合本项目采购需求，能保障本项目实施得15分；评审内容每缺一项扣5分，评审内容有缺陷未完全响应评审标准的扣1.5-4分。（备注：缺陷是指内容不合理、 虽有内容但不完善、 内容表述前后不一致、 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对服务内容提供具体详细可行的实施服务方案</w:t>
            </w:r>
          </w:p>
        </w:tc>
        <w:tc>
          <w:tcPr>
            <w:tcW w:type="dxa" w:w="2492"/>
          </w:tcPr>
          <w:p>
            <w:pPr>
              <w:pStyle w:val="null3"/>
            </w:pPr>
            <w:r>
              <w:rPr>
                <w:rFonts w:ascii="仿宋_GB2312" w:hAnsi="仿宋_GB2312" w:cs="仿宋_GB2312" w:eastAsia="仿宋_GB2312"/>
              </w:rPr>
              <w:t>内容包括①现状分析②方案总体思路③开展项目评估方法④规划流程思路。各部分内容全面详细、阐述条理清晰详尽、符合本项目采购需求，能保障本项目实施得20分；评审内容每缺一项扣5分，评审内容有缺陷未完全响应评审标准的扣1.5-4分。（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对本项目的工作进度安排提供实时方案</w:t>
            </w:r>
          </w:p>
        </w:tc>
        <w:tc>
          <w:tcPr>
            <w:tcW w:type="dxa" w:w="2492"/>
          </w:tcPr>
          <w:p>
            <w:pPr>
              <w:pStyle w:val="null3"/>
            </w:pPr>
            <w:r>
              <w:rPr>
                <w:rFonts w:ascii="仿宋_GB2312" w:hAnsi="仿宋_GB2312" w:cs="仿宋_GB2312" w:eastAsia="仿宋_GB2312"/>
              </w:rPr>
              <w:t>内容包括①进度安排；②工作组织程序。各部分内容全面详细、阐述条理清晰详尽、符合本项目采购需求，能保障本项目实施得10分；评审内容每缺一项扣5分，评审内容有缺陷未完全响应评审标准的扣1.5-4分。（备注：缺陷是指内容不合理、 虽有内容但不完善、 内容表述前后不一致、 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对本项目采购需求提供项目团队情况</w:t>
            </w:r>
          </w:p>
        </w:tc>
        <w:tc>
          <w:tcPr>
            <w:tcW w:type="dxa" w:w="2492"/>
          </w:tcPr>
          <w:p>
            <w:pPr>
              <w:pStyle w:val="null3"/>
            </w:pPr>
            <w:r>
              <w:rPr>
                <w:rFonts w:ascii="仿宋_GB2312" w:hAnsi="仿宋_GB2312" w:cs="仿宋_GB2312" w:eastAsia="仿宋_GB2312"/>
              </w:rPr>
              <w:t>内容包括①人员配备情况②业务知识构架③管理组织架构④岗位职责分工（提供相关证明资料）。各部分内容全面详细、阐述条理清晰详尽、符合本项目采购需求，能保障本项目实施得20分；评审内容每缺一项扣5分，评审内容有缺陷未完全响应评审标准的扣1.5-4分。（备注：缺陷是指内容不合理、 虽有内容但不完善、 内容表述前后不一致、 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提供投标人近三年以来同类项目业绩合同及业绩证明资料，每提供一份得2.5分，最多5分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以满足磋商文件要求且投标价格最低的投标总报价为评标基准价，其价格分为满分10分。其他供应商的价格分统一按照下列公式计算：投标报价得分=(评标基准价／投标总报价)×100×10%。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详见附件：投标保证金</w:t>
      </w:r>
    </w:p>
    <w:p>
      <w:pPr>
        <w:pStyle w:val="null3"/>
        <w:ind w:firstLine="960"/>
      </w:pPr>
      <w:r>
        <w:rPr>
          <w:rFonts w:ascii="仿宋_GB2312" w:hAnsi="仿宋_GB2312" w:cs="仿宋_GB2312" w:eastAsia="仿宋_GB2312"/>
        </w:rPr>
        <w:t>详见附件：类似项目业绩一览表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详见附件：投标保证金</w:t>
      </w:r>
    </w:p>
    <w:p>
      <w:pPr>
        <w:pStyle w:val="null3"/>
        <w:ind w:firstLine="960"/>
      </w:pPr>
      <w:r>
        <w:rPr>
          <w:rFonts w:ascii="仿宋_GB2312" w:hAnsi="仿宋_GB2312" w:cs="仿宋_GB2312" w:eastAsia="仿宋_GB2312"/>
        </w:rPr>
        <w:t>详见附件：类似项目业绩一览表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