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版本号：BYTC2025CG06020251224002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城市智慧照明改造项目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BYTC2025CG060</w:t>
      </w:r>
      <w:r>
        <w:br/>
      </w:r>
      <w:r>
        <w:br/>
      </w:r>
      <w:r>
        <w:br/>
      </w:r>
    </w:p>
    <w:p>
      <w:pPr>
        <w:pStyle w:val="null3"/>
        <w:jc w:val="center"/>
        <w:outlineLvl w:val="2"/>
      </w:pPr>
      <w:r>
        <w:rPr>
          <w:rFonts w:ascii="仿宋_GB2312" w:hAnsi="仿宋_GB2312" w:cs="仿宋_GB2312" w:eastAsia="仿宋_GB2312"/>
          <w:sz w:val="28"/>
          <w:b/>
        </w:rPr>
        <w:t>西乡县住房和城乡建设管理局</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西乡县住房和城乡建设管理局</w:t>
      </w:r>
      <w:r>
        <w:rPr>
          <w:rFonts w:ascii="仿宋_GB2312" w:hAnsi="仿宋_GB2312" w:cs="仿宋_GB2312" w:eastAsia="仿宋_GB2312"/>
        </w:rPr>
        <w:t>委托，拟对</w:t>
      </w:r>
      <w:r>
        <w:rPr>
          <w:rFonts w:ascii="仿宋_GB2312" w:hAnsi="仿宋_GB2312" w:cs="仿宋_GB2312" w:eastAsia="仿宋_GB2312"/>
        </w:rPr>
        <w:t>城市智慧照明改造项目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BYTC2025CG060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城市智慧照明改造项目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城区1047盏钠灯、48个控制箱进行节能改造，加装节能控制设备，建设智能化管理系统平台，新增二里段45杆路灯。通过“光控+经纬”策略，精准开关灯；对单灯控制的照明灯进行分时调光等控制，实现二次节能；通过系统平台可视化数据，快速查找故障原因，精准提示故障点；提供8年能耗管理服务及配套驻场技术支持服务，实现精细化、智能化照明管理，达到节能降耗和提高维护效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2、供应商资格承诺函：提供“汉中市政府采购供应商资格承诺函”；</w:t>
      </w:r>
    </w:p>
    <w:p>
      <w:pPr>
        <w:pStyle w:val="null3"/>
      </w:pPr>
      <w:r>
        <w:rPr>
          <w:rFonts w:ascii="仿宋_GB2312" w:hAnsi="仿宋_GB2312" w:cs="仿宋_GB2312" w:eastAsia="仿宋_GB2312"/>
        </w:rPr>
        <w:t>3、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 注： （1）不同性质的法人或其他组织或自然人可按照国家法律规定提供合法资质,特殊行业投标人的分支机构投标，其财务状况、税收缴纳、社会保障资金缴纳等由主管单位或总公司代缴（代管）的，需提供相应情况说明。 （2）投标单位负责人为同一人或者存在直接控股、管理关系的不同供应商，不得同时参加本项目政府采购活动，否则按废标处理。 （3）投标单位要充分考虑知识产权问题，应保证采购单位免除且承担由于投标单位在其本国使用该项目所需的材料和设计或其任何一部分时而引起第三方提出的侵犯专利权、商标权或工业设计权的起诉、行动、行政程序索赔、请求等，以及采购单位为此而产生的损失和损害、费用和支出（包括律师费）。 （4）根据《关于在政府采购活动中查询及使用信用记录有关问题的通知》(财库[2016]125号)的规定，对列入失信被执行人、重大税收违法案件当事人名单、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陕西省西乡县金牛路31号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0916-3197035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陕西省汉中市汉台区汉中路街道办事处荔枝路智诚雅居2楼1号写字间</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具体详见采购清单及要求</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具体详见采购清单及要求</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具体详见采购清单及要求</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开户银行：长安银行股份有限公司汉中兴元路支行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说明：完成合同约定内容后退回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代理服务费收费标准：1、本项目招标代理费按《招标代理服务收费管理暂行办法》所规定的收费标准由中标供应商支付。 2、中标单位在领取中标通知书前，须向采购代理机构一次性支付招标代理服务费；代理服务费以转账、电汇或现金等形式交纳。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西乡县住房和城乡建设管理局</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西乡县住房和城乡建设管理局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陕西博宇天诚项目管理有限公司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满足采购文件及采购人实际工作要求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联系人：李飞</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地址：陕西省汉中市汉台区荔枝路祥瑞四季印象南侧(房产大厦斜对面)智城雅居二楼(国旺源建材城北侧)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城区1047盏钠灯、48个控制箱进行节能改造，加装节能控制设备，建设智能化管理系统平台，新增二里段45杆路灯。通过“光控+经纬”策略，精准开关灯；对单灯控制的照明灯进行分时调光等控制，实现二次节能；通过系统平台可视化数据，快速查找故障原因，精准提示故障点；提供8年能耗管理服务及配套驻场技术支持服务，实现精细化、智能化照明管理，达到节能降耗和提高维护效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1,990,000.00</w:t>
      </w:r>
    </w:p>
    <w:p>
      <w:pPr>
        <w:pStyle w:val="null3"/>
      </w:pPr>
      <w:r>
        <w:rPr>
          <w:rFonts w:ascii="仿宋_GB2312" w:hAnsi="仿宋_GB2312" w:cs="仿宋_GB2312" w:eastAsia="仿宋_GB2312"/>
        </w:rPr>
        <w:t>采购包最高限价（元）: 1,950,000.00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城市智慧照明改造项目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标的名称：城市智慧照明改造项目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63"/>
              <w:gridCol w:w="272"/>
              <w:gridCol w:w="188"/>
              <w:gridCol w:w="1315"/>
              <w:gridCol w:w="137"/>
              <w:gridCol w:w="137"/>
              <w:gridCol w:w="238"/>
            </w:tblGrid>
            <w:tr>
              <w:tc>
                <w:tcPr>
                  <w:tcW w:type="dxa" w:w="26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名称</w:t>
                  </w:r>
                </w:p>
              </w:tc>
              <w:tc>
                <w:tcPr>
                  <w:tcW w:type="dxa" w:w="1775"/>
                  <w:gridSpan w:val="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功能要求</w:t>
                  </w:r>
                </w:p>
              </w:tc>
              <w:tc>
                <w:tcPr>
                  <w:tcW w:type="dxa" w:w="13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数量</w:t>
                  </w:r>
                </w:p>
              </w:tc>
              <w:tc>
                <w:tcPr>
                  <w:tcW w:type="dxa" w:w="13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单位</w:t>
                  </w:r>
                </w:p>
              </w:tc>
              <w:tc>
                <w:tcPr>
                  <w:tcW w:type="dxa" w:w="238"/>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备注</w:t>
                  </w:r>
                </w:p>
              </w:tc>
            </w:tr>
            <w:tr>
              <w:tc>
                <w:tcPr>
                  <w:tcW w:type="dxa" w:w="2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智慧照明系统平台服务及运维服务</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系统平台整体要求</w:t>
                  </w:r>
                </w:p>
              </w:tc>
              <w:tc>
                <w:tcPr>
                  <w:tcW w:type="dxa" w:w="150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18"/>
                      <w:color w:val="000000"/>
                    </w:rPr>
                    <w:t xml:space="preserve"> 1、智能化管理系统平台：为每盏灯具安装智能控制器，实现远程开关、亮度调节、色温调节等功能。集成环境传感器（如光线传感器、人体传感器等），根据环境光线和人员活动情况自动调节照明亮度。支持场景调节模式设置，如天气的不同、自然光线的补充情况不同等，满足不同自然状况下的照明需求。</w:t>
                  </w:r>
                  <w:r>
                    <w:br/>
                  </w:r>
                  <w:r>
                    <w:rPr>
                      <w:rFonts w:ascii="仿宋_GB2312" w:hAnsi="仿宋_GB2312" w:cs="仿宋_GB2312" w:eastAsia="仿宋_GB2312"/>
                      <w:sz w:val="18"/>
                      <w:color w:val="000000"/>
                    </w:rPr>
                    <w:t xml:space="preserve"> 2、数字化管理平台：实时监控设备运行状态，包括灯具的开关状态、亮度、能耗等数据。具备故障预警功能，当设备出现异常时，及时发送警报信息至管理人员手机或电脑端。提供数据分析功能，对能耗数据、设备运行数据进行统计分析，生成能耗报表、设备运行报告等，为管理决策提供依据。</w:t>
                  </w:r>
                  <w:r>
                    <w:br/>
                  </w:r>
                  <w:r>
                    <w:rPr>
                      <w:rFonts w:ascii="仿宋_GB2312" w:hAnsi="仿宋_GB2312" w:cs="仿宋_GB2312" w:eastAsia="仿宋_GB2312"/>
                      <w:sz w:val="18"/>
                      <w:color w:val="000000"/>
                    </w:rPr>
                    <w:t xml:space="preserve"> 3、三维可视化：对城镇照明系统进行三维可视化建模，直观示灯具位置、线路走向等信息。在三维可视模型中模拟照明效果，优化灯具布局，确保照明均匀度和舒适度。</w:t>
                  </w:r>
                  <w:r>
                    <w:br/>
                  </w:r>
                  <w:r>
                    <w:rPr>
                      <w:rFonts w:ascii="仿宋_GB2312" w:hAnsi="仿宋_GB2312" w:cs="仿宋_GB2312" w:eastAsia="仿宋_GB2312"/>
                      <w:sz w:val="18"/>
                      <w:color w:val="000000"/>
                    </w:rPr>
                    <w:t xml:space="preserve"> 4、能源管理系统：集成能源计量设备，实时监测照明能耗数据，并与智能照明控制系统联动，根据能耗情况自动调整照明策略。设定能源消耗目标，通过数据分析评估能源使用效率，提供节能建议和优化方案。与市政管理其他能源系统进行数据交互，实现市政体系下整体能源的综合管理。</w:t>
                  </w:r>
                  <w:r>
                    <w:br/>
                  </w:r>
                  <w:r>
                    <w:rPr>
                      <w:rFonts w:ascii="仿宋_GB2312" w:hAnsi="仿宋_GB2312" w:cs="仿宋_GB2312" w:eastAsia="仿宋_GB2312"/>
                      <w:sz w:val="18"/>
                      <w:color w:val="000000"/>
                    </w:rPr>
                    <w:t xml:space="preserve"> 5、服务期内提供培训、故障运维、定期巡检和保障服务；维护终端、平台等信息系统。</w:t>
                  </w:r>
                </w:p>
              </w:tc>
              <w:tc>
                <w:tcPr>
                  <w:tcW w:type="dxa" w:w="1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1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23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服务期不低于8年，服务期内提供免费的巡检、维护、软件升级等服务</w:t>
                  </w:r>
                </w:p>
              </w:tc>
            </w:tr>
            <w:tr>
              <w:tc>
                <w:tcPr>
                  <w:tcW w:type="dxa" w:w="263"/>
                  <w:vMerge/>
                  <w:tcBorders>
                    <w:top w:val="single" w:color="000000" w:sz="4"/>
                    <w:left w:val="single" w:color="000000" w:sz="4"/>
                    <w:bottom w:val="single" w:color="000000" w:sz="4"/>
                    <w:right w:val="single" w:color="000000" w:sz="4"/>
                  </w:tcBorders>
                </w:tcPr>
                <w:p/>
              </w:tc>
              <w:tc>
                <w:tcPr>
                  <w:tcW w:type="dxa" w:w="2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智慧照明系统（子系统）</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控制箱监控模块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1、设备状态监测：控制输出状态、通讯状态、通讯参数；</w:t>
                  </w:r>
                  <w:r>
                    <w:br/>
                  </w:r>
                  <w:r>
                    <w:rPr>
                      <w:rFonts w:ascii="仿宋_GB2312" w:hAnsi="仿宋_GB2312" w:cs="仿宋_GB2312" w:eastAsia="仿宋_GB2312"/>
                      <w:sz w:val="18"/>
                      <w:color w:val="000000"/>
                    </w:rPr>
                    <w:t xml:space="preserve"> 2、运行电参数监测：三相电压、三相电流、三相功率、功率因数、能耗、接触器状态、转换开关状态；</w:t>
                  </w:r>
                  <w:r>
                    <w:br/>
                  </w:r>
                  <w:r>
                    <w:rPr>
                      <w:rFonts w:ascii="仿宋_GB2312" w:hAnsi="仿宋_GB2312" w:cs="仿宋_GB2312" w:eastAsia="仿宋_GB2312"/>
                      <w:sz w:val="18"/>
                      <w:color w:val="000000"/>
                    </w:rPr>
                    <w:t xml:space="preserve"> 3、安防参数监测：门开、锁开、烟雾、水浸、防盗、漏电、温度；</w:t>
                  </w:r>
                  <w:r>
                    <w:br/>
                  </w:r>
                  <w:r>
                    <w:rPr>
                      <w:rFonts w:ascii="仿宋_GB2312" w:hAnsi="仿宋_GB2312" w:cs="仿宋_GB2312" w:eastAsia="仿宋_GB2312"/>
                      <w:sz w:val="18"/>
                      <w:color w:val="000000"/>
                    </w:rPr>
                    <w:t xml:space="preserve"> 4、远程控制：控制输出开关远程控制、门锁远程控制（电子锁/智能锁）；</w:t>
                  </w:r>
                  <w:r>
                    <w:br/>
                  </w:r>
                  <w:r>
                    <w:rPr>
                      <w:rFonts w:ascii="仿宋_GB2312" w:hAnsi="仿宋_GB2312" w:cs="仿宋_GB2312" w:eastAsia="仿宋_GB2312"/>
                      <w:sz w:val="18"/>
                      <w:color w:val="000000"/>
                    </w:rPr>
                    <w:t xml:space="preserve"> 5、 自动控制：时间表管理、远程下发、远程查询，联动参数设置、查询；</w:t>
                  </w:r>
                  <w:r>
                    <w:br/>
                  </w:r>
                  <w:r>
                    <w:rPr>
                      <w:rFonts w:ascii="仿宋_GB2312" w:hAnsi="仿宋_GB2312" w:cs="仿宋_GB2312" w:eastAsia="仿宋_GB2312"/>
                      <w:sz w:val="18"/>
                      <w:color w:val="000000"/>
                    </w:rPr>
                    <w:t xml:space="preserve"> 6、指标数据监测：亮灯率、总配电及各支路实时能耗；</w:t>
                  </w:r>
                  <w:r>
                    <w:br/>
                  </w:r>
                  <w:r>
                    <w:rPr>
                      <w:rFonts w:ascii="仿宋_GB2312" w:hAnsi="仿宋_GB2312" w:cs="仿宋_GB2312" w:eastAsia="仿宋_GB2312"/>
                      <w:sz w:val="18"/>
                      <w:color w:val="000000"/>
                    </w:rPr>
                    <w:t xml:space="preserve"> 7、历史数据存储及查询： 以上功能描述中监测、控制、指标历史数据存储及查询；</w:t>
                  </w:r>
                  <w:r>
                    <w:br/>
                  </w:r>
                  <w:r>
                    <w:rPr>
                      <w:rFonts w:ascii="仿宋_GB2312" w:hAnsi="仿宋_GB2312" w:cs="仿宋_GB2312" w:eastAsia="仿宋_GB2312"/>
                      <w:sz w:val="18"/>
                      <w:color w:val="000000"/>
                    </w:rPr>
                    <w:t xml:space="preserve"> 8、其他功能操作：时钟查询及校准、初始化、复位、在线升级、设备信息查询、 网络参数查询及设置；</w:t>
                  </w:r>
                  <w:r>
                    <w:br/>
                  </w:r>
                  <w:r>
                    <w:rPr>
                      <w:rFonts w:ascii="仿宋_GB2312" w:hAnsi="仿宋_GB2312" w:cs="仿宋_GB2312" w:eastAsia="仿宋_GB2312"/>
                      <w:sz w:val="18"/>
                      <w:color w:val="000000"/>
                    </w:rPr>
                    <w:t xml:space="preserve"> 9、控制箱组态显示：总配电、转换开关、接触器、控制输出开关、支路配电、柜门、门锁、烟雾监测、水浸监测、通讯状态、通信参数；</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单灯监控模块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1、运行电参数监测： 电压、 电流、功率、能耗、功率输出百分比（亮度） 、色温输出百分比；</w:t>
                  </w:r>
                  <w:r>
                    <w:br/>
                  </w:r>
                  <w:r>
                    <w:rPr>
                      <w:rFonts w:ascii="仿宋_GB2312" w:hAnsi="仿宋_GB2312" w:cs="仿宋_GB2312" w:eastAsia="仿宋_GB2312"/>
                      <w:sz w:val="18"/>
                      <w:color w:val="000000"/>
                    </w:rPr>
                    <w:t xml:space="preserve"> 2、安防参数监测：倾斜、温度、漏电；</w:t>
                  </w:r>
                  <w:r>
                    <w:br/>
                  </w:r>
                  <w:r>
                    <w:rPr>
                      <w:rFonts w:ascii="仿宋_GB2312" w:hAnsi="仿宋_GB2312" w:cs="仿宋_GB2312" w:eastAsia="仿宋_GB2312"/>
                      <w:sz w:val="18"/>
                      <w:color w:val="000000"/>
                    </w:rPr>
                    <w:t xml:space="preserve"> 3、设备状态的监测：通讯状态、通讯参数（IMEI、ICCID）；</w:t>
                  </w:r>
                  <w:r>
                    <w:br/>
                  </w:r>
                  <w:r>
                    <w:rPr>
                      <w:rFonts w:ascii="仿宋_GB2312" w:hAnsi="仿宋_GB2312" w:cs="仿宋_GB2312" w:eastAsia="仿宋_GB2312"/>
                      <w:sz w:val="18"/>
                      <w:color w:val="000000"/>
                    </w:rPr>
                    <w:t xml:space="preserve"> 4、单灯远程控制：远程开关灯及功率色温调节、组控开关灯及功率色温调节、群控开关灯及功率色温调节；</w:t>
                  </w:r>
                  <w:r>
                    <w:br/>
                  </w:r>
                  <w:r>
                    <w:rPr>
                      <w:rFonts w:ascii="仿宋_GB2312" w:hAnsi="仿宋_GB2312" w:cs="仿宋_GB2312" w:eastAsia="仿宋_GB2312"/>
                      <w:sz w:val="18"/>
                      <w:color w:val="000000"/>
                    </w:rPr>
                    <w:t xml:space="preserve"> 5、单灯自动控制：准时日表、计时日表管理，远程下发，远程查询，联动参数设置、查询；</w:t>
                  </w:r>
                  <w:r>
                    <w:br/>
                  </w:r>
                  <w:r>
                    <w:rPr>
                      <w:rFonts w:ascii="仿宋_GB2312" w:hAnsi="仿宋_GB2312" w:cs="仿宋_GB2312" w:eastAsia="仿宋_GB2312"/>
                      <w:sz w:val="18"/>
                      <w:color w:val="000000"/>
                    </w:rPr>
                    <w:t xml:space="preserve"> 6、指标数据监测：能耗数据，节电率，亮灯率（按节点、分组、区域）；</w:t>
                  </w:r>
                  <w:r>
                    <w:br/>
                  </w:r>
                  <w:r>
                    <w:rPr>
                      <w:rFonts w:ascii="仿宋_GB2312" w:hAnsi="仿宋_GB2312" w:cs="仿宋_GB2312" w:eastAsia="仿宋_GB2312"/>
                      <w:sz w:val="18"/>
                      <w:color w:val="000000"/>
                    </w:rPr>
                    <w:t xml:space="preserve"> 7、历史数据存储及查询： 以上监测、控制、指标历史数据存储及查询；</w:t>
                  </w:r>
                  <w:r>
                    <w:br/>
                  </w:r>
                  <w:r>
                    <w:rPr>
                      <w:rFonts w:ascii="仿宋_GB2312" w:hAnsi="仿宋_GB2312" w:cs="仿宋_GB2312" w:eastAsia="仿宋_GB2312"/>
                      <w:sz w:val="18"/>
                      <w:color w:val="000000"/>
                    </w:rPr>
                    <w:t xml:space="preserve"> 8、单灯组态显示：电压、电流、功率、能耗、倾斜、温度、漏电状态、通讯状态、通信参数，功率输出百分比控制、色温输出百分比控制；</w:t>
                  </w:r>
                  <w:r>
                    <w:br/>
                  </w:r>
                  <w:r>
                    <w:rPr>
                      <w:rFonts w:ascii="仿宋_GB2312" w:hAnsi="仿宋_GB2312" w:cs="仿宋_GB2312" w:eastAsia="仿宋_GB2312"/>
                      <w:sz w:val="18"/>
                      <w:color w:val="000000"/>
                    </w:rPr>
                    <w:t xml:space="preserve"> 9、设备其他功能操作：时钟查询及校准、初始化、复位、在线升级、设备信息查询、 网络参数查询及设置；</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光控模块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1、监测每个控制区域的光照强度，根据光控策略进行亮灭的判断，根据结果提示或自动执行；</w:t>
                  </w:r>
                  <w:r>
                    <w:br/>
                  </w:r>
                  <w:r>
                    <w:rPr>
                      <w:rFonts w:ascii="仿宋_GB2312" w:hAnsi="仿宋_GB2312" w:cs="仿宋_GB2312" w:eastAsia="仿宋_GB2312"/>
                      <w:sz w:val="18"/>
                      <w:color w:val="000000"/>
                    </w:rPr>
                    <w:t xml:space="preserve"> 2、配置光控策略：包含开关灯光照度限值、光控动作与时间表动作最小间隔（分钟）、联动光控触发控制箱范围、光控触发确认时长（分钟）；</w:t>
                  </w:r>
                  <w:r>
                    <w:br/>
                  </w:r>
                  <w:r>
                    <w:rPr>
                      <w:rFonts w:ascii="仿宋_GB2312" w:hAnsi="仿宋_GB2312" w:cs="仿宋_GB2312" w:eastAsia="仿宋_GB2312"/>
                      <w:sz w:val="18"/>
                      <w:color w:val="000000"/>
                    </w:rPr>
                    <w:t xml:space="preserve"> 3、历史数据：光照强度历史记录，控制策略执行历史记录；</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GIS模块（地理信息模块）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1、控制箱位置显示及调整，当前状态显示，重要信息显示，简要功能控制；</w:t>
                  </w:r>
                  <w:r>
                    <w:br/>
                  </w:r>
                  <w:r>
                    <w:rPr>
                      <w:rFonts w:ascii="仿宋_GB2312" w:hAnsi="仿宋_GB2312" w:cs="仿宋_GB2312" w:eastAsia="仿宋_GB2312"/>
                      <w:sz w:val="18"/>
                      <w:color w:val="000000"/>
                    </w:rPr>
                    <w:t xml:space="preserve"> 2、单灯位置显示及调整， 当前状态显示，重要信息显示，简要功能控制；</w:t>
                  </w:r>
                  <w:r>
                    <w:br/>
                  </w:r>
                  <w:r>
                    <w:rPr>
                      <w:rFonts w:ascii="仿宋_GB2312" w:hAnsi="仿宋_GB2312" w:cs="仿宋_GB2312" w:eastAsia="仿宋_GB2312"/>
                      <w:sz w:val="18"/>
                      <w:color w:val="000000"/>
                    </w:rPr>
                    <w:t xml:space="preserve"> 3、电缆走向、长度及通电状态；</w:t>
                  </w:r>
                  <w:r>
                    <w:br/>
                  </w:r>
                  <w:r>
                    <w:rPr>
                      <w:rFonts w:ascii="仿宋_GB2312" w:hAnsi="仿宋_GB2312" w:cs="仿宋_GB2312" w:eastAsia="仿宋_GB2312"/>
                      <w:sz w:val="18"/>
                      <w:color w:val="000000"/>
                    </w:rPr>
                    <w:t xml:space="preserve"> 4、控制箱、单灯、 电缆统计分析浮窗；</w:t>
                  </w:r>
                  <w:r>
                    <w:br/>
                  </w:r>
                  <w:r>
                    <w:rPr>
                      <w:rFonts w:ascii="仿宋_GB2312" w:hAnsi="仿宋_GB2312" w:cs="仿宋_GB2312" w:eastAsia="仿宋_GB2312"/>
                      <w:sz w:val="18"/>
                      <w:color w:val="000000"/>
                    </w:rPr>
                    <w:t xml:space="preserve"> 5、显示每个控制区域的边界线及其光控有效值；</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告警管理模块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1、控制箱告警类型设置：</w:t>
                  </w:r>
                  <w:r>
                    <w:br/>
                  </w:r>
                  <w:r>
                    <w:rPr>
                      <w:rFonts w:ascii="仿宋_GB2312" w:hAnsi="仿宋_GB2312" w:cs="仿宋_GB2312" w:eastAsia="仿宋_GB2312"/>
                      <w:sz w:val="18"/>
                      <w:color w:val="000000"/>
                    </w:rPr>
                    <w:t xml:space="preserve"> 1.1、 电压告警：</w:t>
                  </w:r>
                  <w:r>
                    <w:br/>
                  </w:r>
                  <w:r>
                    <w:rPr>
                      <w:rFonts w:ascii="仿宋_GB2312" w:hAnsi="仿宋_GB2312" w:cs="仿宋_GB2312" w:eastAsia="仿宋_GB2312"/>
                      <w:sz w:val="18"/>
                      <w:color w:val="000000"/>
                    </w:rPr>
                    <w:t xml:space="preserve"> 掉电报警：设备输入电源断开，生成掉电报警；</w:t>
                  </w:r>
                  <w:r>
                    <w:br/>
                  </w:r>
                  <w:r>
                    <w:rPr>
                      <w:rFonts w:ascii="仿宋_GB2312" w:hAnsi="仿宋_GB2312" w:cs="仿宋_GB2312" w:eastAsia="仿宋_GB2312"/>
                      <w:sz w:val="18"/>
                      <w:color w:val="000000"/>
                    </w:rPr>
                    <w:t xml:space="preserve"> 失压报警： 当前时间属于通电时段时，三相电压均为0 时，生成失压报警；</w:t>
                  </w:r>
                  <w:r>
                    <w:br/>
                  </w:r>
                  <w:r>
                    <w:rPr>
                      <w:rFonts w:ascii="仿宋_GB2312" w:hAnsi="仿宋_GB2312" w:cs="仿宋_GB2312" w:eastAsia="仿宋_GB2312"/>
                      <w:sz w:val="18"/>
                      <w:color w:val="000000"/>
                    </w:rPr>
                    <w:t xml:space="preserve"> 缺相报警：当前时间属于通电时段时，三相电压至少有一项为 0 且三相不同时为0 时，生成缺相报警；</w:t>
                  </w:r>
                  <w:r>
                    <w:br/>
                  </w:r>
                  <w:r>
                    <w:rPr>
                      <w:rFonts w:ascii="仿宋_GB2312" w:hAnsi="仿宋_GB2312" w:cs="仿宋_GB2312" w:eastAsia="仿宋_GB2312"/>
                      <w:sz w:val="18"/>
                      <w:color w:val="000000"/>
                    </w:rPr>
                    <w:t xml:space="preserve"> 欠压报警：当前时间属于通电时段时，三相电压至少有一项小于低压阈值时，生成欠压报警；</w:t>
                  </w:r>
                  <w:r>
                    <w:br/>
                  </w:r>
                  <w:r>
                    <w:rPr>
                      <w:rFonts w:ascii="仿宋_GB2312" w:hAnsi="仿宋_GB2312" w:cs="仿宋_GB2312" w:eastAsia="仿宋_GB2312"/>
                      <w:sz w:val="18"/>
                      <w:color w:val="000000"/>
                    </w:rPr>
                    <w:t xml:space="preserve"> 过压报警：当前时间属于通电时段时，三相电压至少有一项大于高压阈值时，生成过压报警；</w:t>
                  </w:r>
                  <w:r>
                    <w:br/>
                  </w:r>
                  <w:r>
                    <w:rPr>
                      <w:rFonts w:ascii="仿宋_GB2312" w:hAnsi="仿宋_GB2312" w:cs="仿宋_GB2312" w:eastAsia="仿宋_GB2312"/>
                      <w:sz w:val="18"/>
                      <w:color w:val="000000"/>
                    </w:rPr>
                    <w:t xml:space="preserve"> 1.2、 电流告警：</w:t>
                  </w:r>
                  <w:r>
                    <w:br/>
                  </w:r>
                  <w:r>
                    <w:rPr>
                      <w:rFonts w:ascii="仿宋_GB2312" w:hAnsi="仿宋_GB2312" w:cs="仿宋_GB2312" w:eastAsia="仿宋_GB2312"/>
                      <w:sz w:val="18"/>
                      <w:color w:val="000000"/>
                    </w:rPr>
                    <w:t xml:space="preserve"> 欠流报警：当前时间属于开灯时段时，三相电流至少有一项小于低流阈值时，生成欠流报警；</w:t>
                  </w:r>
                  <w:r>
                    <w:br/>
                  </w:r>
                  <w:r>
                    <w:rPr>
                      <w:rFonts w:ascii="仿宋_GB2312" w:hAnsi="仿宋_GB2312" w:cs="仿宋_GB2312" w:eastAsia="仿宋_GB2312"/>
                      <w:sz w:val="18"/>
                      <w:color w:val="000000"/>
                    </w:rPr>
                    <w:t xml:space="preserve"> 过流报警：当前时间属于开灯时段时，三相电流至少有一项大于高流阈值时，生成过流报警；</w:t>
                  </w:r>
                  <w:r>
                    <w:br/>
                  </w:r>
                  <w:r>
                    <w:rPr>
                      <w:rFonts w:ascii="仿宋_GB2312" w:hAnsi="仿宋_GB2312" w:cs="仿宋_GB2312" w:eastAsia="仿宋_GB2312"/>
                      <w:sz w:val="18"/>
                      <w:color w:val="000000"/>
                    </w:rPr>
                    <w:t xml:space="preserve"> 非正常亮灯报警：当前时间属于关灯时段，且支路配电三相电流任一项大于0.02 时，生成非正常亮灯报警；（支路电流时间表直接引用控制输出时间表，去掉单独设置绑定的电流时表）</w:t>
                  </w:r>
                  <w:r>
                    <w:br/>
                  </w:r>
                  <w:r>
                    <w:rPr>
                      <w:rFonts w:ascii="仿宋_GB2312" w:hAnsi="仿宋_GB2312" w:cs="仿宋_GB2312" w:eastAsia="仿宋_GB2312"/>
                      <w:sz w:val="18"/>
                      <w:color w:val="000000"/>
                    </w:rPr>
                    <w:t xml:space="preserve"> 灭灯报警：当前时间属于开灯时段，且支路配电三相电流全部小于 0.02 时，生成大片灭灯报警；</w:t>
                  </w:r>
                  <w:r>
                    <w:br/>
                  </w:r>
                  <w:r>
                    <w:rPr>
                      <w:rFonts w:ascii="仿宋_GB2312" w:hAnsi="仿宋_GB2312" w:cs="仿宋_GB2312" w:eastAsia="仿宋_GB2312"/>
                      <w:sz w:val="18"/>
                      <w:color w:val="000000"/>
                    </w:rPr>
                    <w:t xml:space="preserve"> 电流异常报警：当前时间属于开灯时段时，当前值与前 N 天同一时间点的平均值相差超过阈值时，生成电流数据分析报警；</w:t>
                  </w:r>
                  <w:r>
                    <w:br/>
                  </w:r>
                  <w:r>
                    <w:rPr>
                      <w:rFonts w:ascii="仿宋_GB2312" w:hAnsi="仿宋_GB2312" w:cs="仿宋_GB2312" w:eastAsia="仿宋_GB2312"/>
                      <w:sz w:val="18"/>
                      <w:color w:val="000000"/>
                    </w:rPr>
                    <w:t xml:space="preserve"> 1.3、功率报警：</w:t>
                  </w:r>
                  <w:r>
                    <w:br/>
                  </w:r>
                  <w:r>
                    <w:rPr>
                      <w:rFonts w:ascii="仿宋_GB2312" w:hAnsi="仿宋_GB2312" w:cs="仿宋_GB2312" w:eastAsia="仿宋_GB2312"/>
                      <w:sz w:val="18"/>
                      <w:color w:val="000000"/>
                    </w:rPr>
                    <w:t xml:space="preserve"> 过载报警：当前时间属于开灯时段时，三相总功率大于高载阈值时，生成过载报警；</w:t>
                  </w:r>
                  <w:r>
                    <w:br/>
                  </w:r>
                  <w:r>
                    <w:rPr>
                      <w:rFonts w:ascii="仿宋_GB2312" w:hAnsi="仿宋_GB2312" w:cs="仿宋_GB2312" w:eastAsia="仿宋_GB2312"/>
                      <w:sz w:val="18"/>
                      <w:color w:val="000000"/>
                    </w:rPr>
                    <w:t xml:space="preserve"> 功率异常报警：当前时间属于开灯时段时，当前值与前 N 天同一时间点的平均值相差超过阈值时，生成功率异常报警；</w:t>
                  </w:r>
                  <w:r>
                    <w:br/>
                  </w:r>
                  <w:r>
                    <w:rPr>
                      <w:rFonts w:ascii="仿宋_GB2312" w:hAnsi="仿宋_GB2312" w:cs="仿宋_GB2312" w:eastAsia="仿宋_GB2312"/>
                      <w:sz w:val="18"/>
                      <w:color w:val="000000"/>
                    </w:rPr>
                    <w:t xml:space="preserve"> 功率因数过低报警：总配电的功率因数小于阈值，生成功率因数报警；</w:t>
                  </w:r>
                  <w:r>
                    <w:br/>
                  </w:r>
                  <w:r>
                    <w:rPr>
                      <w:rFonts w:ascii="仿宋_GB2312" w:hAnsi="仿宋_GB2312" w:cs="仿宋_GB2312" w:eastAsia="仿宋_GB2312"/>
                      <w:sz w:val="18"/>
                      <w:color w:val="000000"/>
                    </w:rPr>
                    <w:t xml:space="preserve"> 1.4、安防报警：</w:t>
                  </w:r>
                  <w:r>
                    <w:br/>
                  </w:r>
                  <w:r>
                    <w:rPr>
                      <w:rFonts w:ascii="仿宋_GB2312" w:hAnsi="仿宋_GB2312" w:cs="仿宋_GB2312" w:eastAsia="仿宋_GB2312"/>
                      <w:sz w:val="18"/>
                      <w:color w:val="000000"/>
                    </w:rPr>
                    <w:t xml:space="preserve"> 盗窃报警：当防盗电流检测时长大于防盗阈值时，生成盗窃报警；</w:t>
                  </w:r>
                  <w:r>
                    <w:br/>
                  </w:r>
                  <w:r>
                    <w:rPr>
                      <w:rFonts w:ascii="仿宋_GB2312" w:hAnsi="仿宋_GB2312" w:cs="仿宋_GB2312" w:eastAsia="仿宋_GB2312"/>
                      <w:sz w:val="18"/>
                      <w:color w:val="000000"/>
                    </w:rPr>
                    <w:t xml:space="preserve"> 门开报警：当门状态监测值为报警设置值（增加报警值配置）时，生成门开报警；</w:t>
                  </w:r>
                  <w:r>
                    <w:br/>
                  </w:r>
                  <w:r>
                    <w:rPr>
                      <w:rFonts w:ascii="仿宋_GB2312" w:hAnsi="仿宋_GB2312" w:cs="仿宋_GB2312" w:eastAsia="仿宋_GB2312"/>
                      <w:sz w:val="18"/>
                      <w:color w:val="000000"/>
                    </w:rPr>
                    <w:t xml:space="preserve"> 锁开报警：当锁状态监测值为报警设置值（增加报警值配置）时，生成锁开报警；</w:t>
                  </w:r>
                  <w:r>
                    <w:br/>
                  </w:r>
                  <w:r>
                    <w:rPr>
                      <w:rFonts w:ascii="仿宋_GB2312" w:hAnsi="仿宋_GB2312" w:cs="仿宋_GB2312" w:eastAsia="仿宋_GB2312"/>
                      <w:sz w:val="18"/>
                      <w:color w:val="000000"/>
                    </w:rPr>
                    <w:t xml:space="preserve"> 烟雾报警：当烟雾状态监测值为报警设置值（增加报警值配置）时，生成烟雾报警；</w:t>
                  </w:r>
                  <w:r>
                    <w:br/>
                  </w:r>
                  <w:r>
                    <w:rPr>
                      <w:rFonts w:ascii="仿宋_GB2312" w:hAnsi="仿宋_GB2312" w:cs="仿宋_GB2312" w:eastAsia="仿宋_GB2312"/>
                      <w:sz w:val="18"/>
                      <w:color w:val="000000"/>
                    </w:rPr>
                    <w:t xml:space="preserve"> 水浸报警：当水浸状态监测值为报警设置值（增加报警值配置）时，生成水浸报警（可设置多级报警通道）；</w:t>
                  </w:r>
                  <w:r>
                    <w:br/>
                  </w:r>
                  <w:r>
                    <w:rPr>
                      <w:rFonts w:ascii="仿宋_GB2312" w:hAnsi="仿宋_GB2312" w:cs="仿宋_GB2312" w:eastAsia="仿宋_GB2312"/>
                      <w:sz w:val="18"/>
                      <w:color w:val="000000"/>
                    </w:rPr>
                    <w:t xml:space="preserve"> 漏电报警：当漏电电流大于轻微漏电阈值且小于严重漏电阈值时，生成轻微漏电报警；当漏电电流大于严重漏电阈值时，生成严重漏电报警；</w:t>
                  </w:r>
                  <w:r>
                    <w:br/>
                  </w:r>
                  <w:r>
                    <w:rPr>
                      <w:rFonts w:ascii="仿宋_GB2312" w:hAnsi="仿宋_GB2312" w:cs="仿宋_GB2312" w:eastAsia="仿宋_GB2312"/>
                      <w:sz w:val="18"/>
                      <w:color w:val="000000"/>
                    </w:rPr>
                    <w:t xml:space="preserve"> 高温报警： 当温度高于阈值时，生成过温报警；</w:t>
                  </w:r>
                  <w:r>
                    <w:br/>
                  </w:r>
                  <w:r>
                    <w:rPr>
                      <w:rFonts w:ascii="仿宋_GB2312" w:hAnsi="仿宋_GB2312" w:cs="仿宋_GB2312" w:eastAsia="仿宋_GB2312"/>
                      <w:sz w:val="18"/>
                      <w:color w:val="000000"/>
                    </w:rPr>
                    <w:t xml:space="preserve"> 1.5、转换开关报警：</w:t>
                  </w:r>
                  <w:r>
                    <w:br/>
                  </w:r>
                  <w:r>
                    <w:rPr>
                      <w:rFonts w:ascii="仿宋_GB2312" w:hAnsi="仿宋_GB2312" w:cs="仿宋_GB2312" w:eastAsia="仿宋_GB2312"/>
                      <w:sz w:val="18"/>
                      <w:color w:val="000000"/>
                    </w:rPr>
                    <w:t xml:space="preserve"> 转换开关停止状态报警：当转换开关手动、时控、遥控状态都断开时，生成停止状态报警；</w:t>
                  </w:r>
                  <w:r>
                    <w:br/>
                  </w:r>
                  <w:r>
                    <w:rPr>
                      <w:rFonts w:ascii="仿宋_GB2312" w:hAnsi="仿宋_GB2312" w:cs="仿宋_GB2312" w:eastAsia="仿宋_GB2312"/>
                      <w:sz w:val="18"/>
                      <w:color w:val="000000"/>
                    </w:rPr>
                    <w:t xml:space="preserve"> 转换开关手动状态报警：当转换开关打到手动状态时，生成手动状态报；</w:t>
                  </w:r>
                  <w:r>
                    <w:br/>
                  </w:r>
                  <w:r>
                    <w:rPr>
                      <w:rFonts w:ascii="仿宋_GB2312" w:hAnsi="仿宋_GB2312" w:cs="仿宋_GB2312" w:eastAsia="仿宋_GB2312"/>
                      <w:sz w:val="18"/>
                      <w:color w:val="000000"/>
                    </w:rPr>
                    <w:t xml:space="preserve"> 转换开关时控状态报警：当转换开关打到时控状态时，生成时控状态报；</w:t>
                  </w:r>
                  <w:r>
                    <w:br/>
                  </w:r>
                  <w:r>
                    <w:rPr>
                      <w:rFonts w:ascii="仿宋_GB2312" w:hAnsi="仿宋_GB2312" w:cs="仿宋_GB2312" w:eastAsia="仿宋_GB2312"/>
                      <w:sz w:val="18"/>
                      <w:color w:val="000000"/>
                    </w:rPr>
                    <w:t xml:space="preserve"> 1.6、接触器异常报警：</w:t>
                  </w:r>
                  <w:r>
                    <w:br/>
                  </w:r>
                  <w:r>
                    <w:rPr>
                      <w:rFonts w:ascii="仿宋_GB2312" w:hAnsi="仿宋_GB2312" w:cs="仿宋_GB2312" w:eastAsia="仿宋_GB2312"/>
                      <w:sz w:val="18"/>
                      <w:color w:val="000000"/>
                    </w:rPr>
                    <w:t xml:space="preserve"> 当接触器关联输出通道的输出值与状态监测值不相等时，生成接触器异常报警；（接触器粘连、接触器无法闭合）</w:t>
                  </w:r>
                  <w:r>
                    <w:br/>
                  </w:r>
                  <w:r>
                    <w:rPr>
                      <w:rFonts w:ascii="仿宋_GB2312" w:hAnsi="仿宋_GB2312" w:cs="仿宋_GB2312" w:eastAsia="仿宋_GB2312"/>
                      <w:sz w:val="18"/>
                      <w:color w:val="000000"/>
                    </w:rPr>
                    <w:t xml:space="preserve"> 1.7、输出异常报警：</w:t>
                  </w:r>
                  <w:r>
                    <w:br/>
                  </w:r>
                  <w:r>
                    <w:rPr>
                      <w:rFonts w:ascii="仿宋_GB2312" w:hAnsi="仿宋_GB2312" w:cs="仿宋_GB2312" w:eastAsia="仿宋_GB2312"/>
                      <w:sz w:val="18"/>
                      <w:color w:val="000000"/>
                    </w:rPr>
                    <w:t xml:space="preserve"> 当前输出通道已配置时间表时，当前输出值与时间表配置值不一致时，生成输出异常报警；（手动遥控时间归入正常亮灯范畴，但需记录手动遥控原因及操作人）</w:t>
                  </w:r>
                  <w:r>
                    <w:br/>
                  </w:r>
                  <w:r>
                    <w:rPr>
                      <w:rFonts w:ascii="仿宋_GB2312" w:hAnsi="仿宋_GB2312" w:cs="仿宋_GB2312" w:eastAsia="仿宋_GB2312"/>
                      <w:sz w:val="18"/>
                      <w:color w:val="000000"/>
                    </w:rPr>
                    <w:t xml:space="preserve"> 1.8、时钟异单灯报警生成常报警：</w:t>
                  </w:r>
                  <w:r>
                    <w:br/>
                  </w:r>
                  <w:r>
                    <w:rPr>
                      <w:rFonts w:ascii="仿宋_GB2312" w:hAnsi="仿宋_GB2312" w:cs="仿宋_GB2312" w:eastAsia="仿宋_GB2312"/>
                      <w:sz w:val="18"/>
                      <w:color w:val="000000"/>
                    </w:rPr>
                    <w:t xml:space="preserve"> 当设备心跳时间与服务器当前时间超过阈值（阈值时间支持自行设置）时，报时钟异常报警；</w:t>
                  </w:r>
                  <w:r>
                    <w:br/>
                  </w:r>
                  <w:r>
                    <w:rPr>
                      <w:rFonts w:ascii="仿宋_GB2312" w:hAnsi="仿宋_GB2312" w:cs="仿宋_GB2312" w:eastAsia="仿宋_GB2312"/>
                      <w:sz w:val="18"/>
                      <w:color w:val="000000"/>
                    </w:rPr>
                    <w:t xml:space="preserve"> 2 单灯告警类型设置</w:t>
                  </w:r>
                  <w:r>
                    <w:br/>
                  </w:r>
                  <w:r>
                    <w:rPr>
                      <w:rFonts w:ascii="仿宋_GB2312" w:hAnsi="仿宋_GB2312" w:cs="仿宋_GB2312" w:eastAsia="仿宋_GB2312"/>
                      <w:sz w:val="18"/>
                      <w:color w:val="000000"/>
                    </w:rPr>
                    <w:t xml:space="preserve"> 2.1、 电压报警：</w:t>
                  </w:r>
                  <w:r>
                    <w:br/>
                  </w:r>
                  <w:r>
                    <w:rPr>
                      <w:rFonts w:ascii="仿宋_GB2312" w:hAnsi="仿宋_GB2312" w:cs="仿宋_GB2312" w:eastAsia="仿宋_GB2312"/>
                      <w:sz w:val="18"/>
                      <w:color w:val="000000"/>
                    </w:rPr>
                    <w:t xml:space="preserve"> 欠压报警：当前时间属于通电时段时，电压小于低压阈值时，生成欠压报警；</w:t>
                  </w:r>
                  <w:r>
                    <w:br/>
                  </w:r>
                  <w:r>
                    <w:rPr>
                      <w:rFonts w:ascii="仿宋_GB2312" w:hAnsi="仿宋_GB2312" w:cs="仿宋_GB2312" w:eastAsia="仿宋_GB2312"/>
                      <w:sz w:val="18"/>
                      <w:color w:val="000000"/>
                    </w:rPr>
                    <w:t xml:space="preserve"> 过压报警：当前时间属于通电时段时，电压大于高压阈值时，生成过压报警；</w:t>
                  </w:r>
                  <w:r>
                    <w:br/>
                  </w:r>
                  <w:r>
                    <w:rPr>
                      <w:rFonts w:ascii="仿宋_GB2312" w:hAnsi="仿宋_GB2312" w:cs="仿宋_GB2312" w:eastAsia="仿宋_GB2312"/>
                      <w:sz w:val="18"/>
                      <w:color w:val="000000"/>
                    </w:rPr>
                    <w:t xml:space="preserve"> 2.2、功率报警：</w:t>
                  </w:r>
                  <w:r>
                    <w:br/>
                  </w:r>
                  <w:r>
                    <w:rPr>
                      <w:rFonts w:ascii="仿宋_GB2312" w:hAnsi="仿宋_GB2312" w:cs="仿宋_GB2312" w:eastAsia="仿宋_GB2312"/>
                      <w:sz w:val="18"/>
                      <w:color w:val="000000"/>
                    </w:rPr>
                    <w:t xml:space="preserve"> 灭灯报警：当前时间属于开灯时段时，多灯头情况下，功率小于（最大功率*输出比例，最大功率：以 100%输出时的功率或手填最大功率可配置）的 60%（可调阈值）时，生成部分灭灯报警；单灯头情况下，功率小于 3W（可调阈值） ，则生成灭灯报警；</w:t>
                  </w:r>
                  <w:r>
                    <w:br/>
                  </w:r>
                  <w:r>
                    <w:rPr>
                      <w:rFonts w:ascii="仿宋_GB2312" w:hAnsi="仿宋_GB2312" w:cs="仿宋_GB2312" w:eastAsia="仿宋_GB2312"/>
                      <w:sz w:val="18"/>
                      <w:color w:val="000000"/>
                    </w:rPr>
                    <w:t xml:space="preserve"> 2.3、安防报警：</w:t>
                  </w:r>
                  <w:r>
                    <w:br/>
                  </w:r>
                  <w:r>
                    <w:rPr>
                      <w:rFonts w:ascii="仿宋_GB2312" w:hAnsi="仿宋_GB2312" w:cs="仿宋_GB2312" w:eastAsia="仿宋_GB2312"/>
                      <w:sz w:val="18"/>
                      <w:color w:val="000000"/>
                    </w:rPr>
                    <w:t xml:space="preserve"> 过温报警： 当温度高于阈值时，生成过温报警；</w:t>
                  </w:r>
                  <w:r>
                    <w:br/>
                  </w:r>
                  <w:r>
                    <w:rPr>
                      <w:rFonts w:ascii="仿宋_GB2312" w:hAnsi="仿宋_GB2312" w:cs="仿宋_GB2312" w:eastAsia="仿宋_GB2312"/>
                      <w:sz w:val="18"/>
                      <w:color w:val="000000"/>
                    </w:rPr>
                    <w:t xml:space="preserve"> 漏电报警：当漏电电流大于轻微漏电阈值且小于严重漏电阈值时，生成轻微漏电报警；当漏电电流大于严重漏电阈值时，生成严重漏电报警；</w:t>
                  </w:r>
                  <w:r>
                    <w:br/>
                  </w:r>
                  <w:r>
                    <w:rPr>
                      <w:rFonts w:ascii="仿宋_GB2312" w:hAnsi="仿宋_GB2312" w:cs="仿宋_GB2312" w:eastAsia="仿宋_GB2312"/>
                      <w:sz w:val="18"/>
                      <w:color w:val="000000"/>
                    </w:rPr>
                    <w:t xml:space="preserve"> 水浸报警：当水浸状态监测值为闭合时，生成水浸报警（可设置多级报警通道）；</w:t>
                  </w:r>
                  <w:r>
                    <w:br/>
                  </w:r>
                  <w:r>
                    <w:rPr>
                      <w:rFonts w:ascii="仿宋_GB2312" w:hAnsi="仿宋_GB2312" w:cs="仿宋_GB2312" w:eastAsia="仿宋_GB2312"/>
                      <w:sz w:val="18"/>
                      <w:color w:val="000000"/>
                    </w:rPr>
                    <w:t xml:space="preserve"> 3、服务器时间报警：</w:t>
                  </w:r>
                  <w:r>
                    <w:br/>
                  </w:r>
                  <w:r>
                    <w:rPr>
                      <w:rFonts w:ascii="仿宋_GB2312" w:hAnsi="仿宋_GB2312" w:cs="仿宋_GB2312" w:eastAsia="仿宋_GB2312"/>
                      <w:sz w:val="18"/>
                      <w:color w:val="000000"/>
                    </w:rPr>
                    <w:t xml:space="preserve"> 在有对时服务器的情况下，服务程序启动时先对时，对时失败时，不允许进行设备控制操作</w:t>
                  </w:r>
                  <w:r>
                    <w:br/>
                  </w:r>
                  <w:r>
                    <w:rPr>
                      <w:rFonts w:ascii="仿宋_GB2312" w:hAnsi="仿宋_GB2312" w:cs="仿宋_GB2312" w:eastAsia="仿宋_GB2312"/>
                      <w:sz w:val="18"/>
                      <w:color w:val="000000"/>
                    </w:rPr>
                    <w:t xml:space="preserve"> 4、控制箱、单灯、通信当前未处理报警列表浮窗：显示报警内容、发生时间、确认人等简要信息，浮窗位于照明监控界面最顶层，可通过连接跳转到报警详情；未确认报警与已确认报警分开显示；</w:t>
                  </w:r>
                  <w:r>
                    <w:br/>
                  </w:r>
                  <w:r>
                    <w:rPr>
                      <w:rFonts w:ascii="仿宋_GB2312" w:hAnsi="仿宋_GB2312" w:cs="仿宋_GB2312" w:eastAsia="仿宋_GB2312"/>
                      <w:sz w:val="18"/>
                      <w:color w:val="000000"/>
                    </w:rPr>
                    <w:t xml:space="preserve"> 报警确认方式分为工单确认、人工确认两种，工单确认按工单流程执行，人工确认需录入报警原因、重要级别、备注，同时可按需修改相关参数，可按需屏蔽相关报警一段时间，可按需转人工任务单；</w:t>
                  </w:r>
                  <w:r>
                    <w:br/>
                  </w:r>
                  <w:r>
                    <w:rPr>
                      <w:rFonts w:ascii="仿宋_GB2312" w:hAnsi="仿宋_GB2312" w:cs="仿宋_GB2312" w:eastAsia="仿宋_GB2312"/>
                      <w:sz w:val="18"/>
                      <w:color w:val="000000"/>
                    </w:rPr>
                    <w:t xml:space="preserve"> 5、控制箱、单灯、通信当前未处理报警列表：显示报警内容、发生时间、处理人员、处理时间、处理情况等重要信息，按时间分为 24 小时以内、48 小时以内、48 小时以外未处理报警；未确认报警与已确认报警分开显示；</w:t>
                  </w:r>
                  <w:r>
                    <w:br/>
                  </w:r>
                  <w:r>
                    <w:rPr>
                      <w:rFonts w:ascii="仿宋_GB2312" w:hAnsi="仿宋_GB2312" w:cs="仿宋_GB2312" w:eastAsia="仿宋_GB2312"/>
                      <w:sz w:val="18"/>
                      <w:color w:val="000000"/>
                    </w:rPr>
                    <w:t xml:space="preserve"> 6、报警统计分析：</w:t>
                  </w:r>
                  <w:r>
                    <w:br/>
                  </w:r>
                  <w:r>
                    <w:rPr>
                      <w:rFonts w:ascii="仿宋_GB2312" w:hAnsi="仿宋_GB2312" w:cs="仿宋_GB2312" w:eastAsia="仿宋_GB2312"/>
                      <w:sz w:val="18"/>
                      <w:color w:val="000000"/>
                    </w:rPr>
                    <w:t xml:space="preserve"> 日、月、年度报警数量环比；</w:t>
                  </w:r>
                  <w:r>
                    <w:br/>
                  </w:r>
                  <w:r>
                    <w:rPr>
                      <w:rFonts w:ascii="仿宋_GB2312" w:hAnsi="仿宋_GB2312" w:cs="仿宋_GB2312" w:eastAsia="仿宋_GB2312"/>
                      <w:sz w:val="18"/>
                      <w:color w:val="000000"/>
                    </w:rPr>
                    <w:t xml:space="preserve"> 日、月、年度报警类型统计；</w:t>
                  </w:r>
                  <w:r>
                    <w:br/>
                  </w:r>
                  <w:r>
                    <w:rPr>
                      <w:rFonts w:ascii="仿宋_GB2312" w:hAnsi="仿宋_GB2312" w:cs="仿宋_GB2312" w:eastAsia="仿宋_GB2312"/>
                      <w:sz w:val="18"/>
                      <w:color w:val="000000"/>
                    </w:rPr>
                    <w:t xml:space="preserve"> 日、月、年度报警等级统计；</w:t>
                  </w:r>
                  <w:r>
                    <w:br/>
                  </w:r>
                  <w:r>
                    <w:rPr>
                      <w:rFonts w:ascii="仿宋_GB2312" w:hAnsi="仿宋_GB2312" w:cs="仿宋_GB2312" w:eastAsia="仿宋_GB2312"/>
                      <w:sz w:val="18"/>
                      <w:color w:val="000000"/>
                    </w:rPr>
                    <w:t xml:space="preserve"> 所有统计分析均提供导出功能；</w:t>
                  </w:r>
                  <w:r>
                    <w:br/>
                  </w:r>
                  <w:r>
                    <w:rPr>
                      <w:rFonts w:ascii="仿宋_GB2312" w:hAnsi="仿宋_GB2312" w:cs="仿宋_GB2312" w:eastAsia="仿宋_GB2312"/>
                      <w:sz w:val="18"/>
                      <w:color w:val="000000"/>
                    </w:rPr>
                    <w:t xml:space="preserve"> 7、报警通知：</w:t>
                  </w:r>
                  <w:r>
                    <w:br/>
                  </w:r>
                  <w:r>
                    <w:rPr>
                      <w:rFonts w:ascii="仿宋_GB2312" w:hAnsi="仿宋_GB2312" w:cs="仿宋_GB2312" w:eastAsia="仿宋_GB2312"/>
                      <w:sz w:val="18"/>
                      <w:color w:val="000000"/>
                    </w:rPr>
                    <w:t xml:space="preserve"> 通知方式：弹窗、声音、短信、 电话、工单</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数据配置方式模块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1、手机录入方式：手机扫码获取设备 ID，并录入其他配置，其他配置带默认值；</w:t>
                  </w:r>
                  <w:r>
                    <w:br/>
                  </w:r>
                  <w:r>
                    <w:rPr>
                      <w:rFonts w:ascii="仿宋_GB2312" w:hAnsi="仿宋_GB2312" w:cs="仿宋_GB2312" w:eastAsia="仿宋_GB2312"/>
                      <w:sz w:val="18"/>
                      <w:color w:val="000000"/>
                    </w:rPr>
                    <w:t xml:space="preserve"> 2、表格模板导入方式：用户下载 excel 文件模板，填好数据后，可将设备数据导入系统；</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运维管理（子系统）</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我的工单模块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当前账号管理范围内的工单显示。</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工单管理模块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1、记录和管理设备维护的整个流程，并将电子档保存到服务器，方便日后查看和分析。</w:t>
                  </w:r>
                  <w:r>
                    <w:br/>
                  </w:r>
                  <w:r>
                    <w:rPr>
                      <w:rFonts w:ascii="仿宋_GB2312" w:hAnsi="仿宋_GB2312" w:cs="仿宋_GB2312" w:eastAsia="仿宋_GB2312"/>
                      <w:sz w:val="18"/>
                      <w:color w:val="000000"/>
                    </w:rPr>
                    <w:t xml:space="preserve"> 2、对维护人员进行工作考核，维护人员根据工单处理流程对设备进行维护，通过 App记录维护的整个流程。</w:t>
                  </w:r>
                  <w:r>
                    <w:br/>
                  </w:r>
                  <w:r>
                    <w:rPr>
                      <w:rFonts w:ascii="仿宋_GB2312" w:hAnsi="仿宋_GB2312" w:cs="仿宋_GB2312" w:eastAsia="仿宋_GB2312"/>
                      <w:sz w:val="18"/>
                      <w:color w:val="000000"/>
                    </w:rPr>
                    <w:t xml:space="preserve"> 3、统计设备的故障率、故障分类。包含：工单状态，限时时间，所在站点，工单名称，负责人，发起时间，当前步骤时间。查看工单：工单当前流程状态、报警类型、报警状态、报警信息、发生世间。</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历史工单模块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已经处理的工单记录保存、查询。</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工单统计模块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汇总显示工单状态和数量。</w:t>
                  </w:r>
                  <w:r>
                    <w:br/>
                  </w:r>
                  <w:r>
                    <w:rPr>
                      <w:rFonts w:ascii="仿宋_GB2312" w:hAnsi="仿宋_GB2312" w:cs="仿宋_GB2312" w:eastAsia="仿宋_GB2312"/>
                      <w:sz w:val="18"/>
                      <w:color w:val="000000"/>
                    </w:rPr>
                    <w:t xml:space="preserve"> 1、工单统计：</w:t>
                  </w:r>
                  <w:r>
                    <w:br/>
                  </w:r>
                  <w:r>
                    <w:rPr>
                      <w:rFonts w:ascii="仿宋_GB2312" w:hAnsi="仿宋_GB2312" w:cs="仿宋_GB2312" w:eastAsia="仿宋_GB2312"/>
                      <w:sz w:val="18"/>
                      <w:color w:val="000000"/>
                    </w:rPr>
                    <w:t xml:space="preserve"> 1.1、故障类型统计：统计一段时间内各种故障的数量及百分比；</w:t>
                  </w:r>
                  <w:r>
                    <w:br/>
                  </w:r>
                  <w:r>
                    <w:rPr>
                      <w:rFonts w:ascii="仿宋_GB2312" w:hAnsi="仿宋_GB2312" w:cs="仿宋_GB2312" w:eastAsia="仿宋_GB2312"/>
                      <w:sz w:val="18"/>
                      <w:color w:val="000000"/>
                    </w:rPr>
                    <w:t xml:space="preserve"> 1.2、处理状态统计：统计当前未结束的工单各步骤数量；</w:t>
                  </w:r>
                  <w:r>
                    <w:br/>
                  </w:r>
                  <w:r>
                    <w:rPr>
                      <w:rFonts w:ascii="仿宋_GB2312" w:hAnsi="仿宋_GB2312" w:cs="仿宋_GB2312" w:eastAsia="仿宋_GB2312"/>
                      <w:sz w:val="18"/>
                      <w:color w:val="000000"/>
                    </w:rPr>
                    <w:t xml:space="preserve"> 1.3、时效性统计：统计一段时间内各步骤的超时率；</w:t>
                  </w:r>
                  <w:r>
                    <w:br/>
                  </w:r>
                  <w:r>
                    <w:rPr>
                      <w:rFonts w:ascii="仿宋_GB2312" w:hAnsi="仿宋_GB2312" w:cs="仿宋_GB2312" w:eastAsia="仿宋_GB2312"/>
                      <w:sz w:val="18"/>
                      <w:color w:val="000000"/>
                    </w:rPr>
                    <w:t xml:space="preserve"> 1.4、按标段统计：统计一段时间内各标段的工单总量、完成量、超期数量及其百分比；</w:t>
                  </w:r>
                  <w:r>
                    <w:br/>
                  </w:r>
                  <w:r>
                    <w:rPr>
                      <w:rFonts w:ascii="仿宋_GB2312" w:hAnsi="仿宋_GB2312" w:cs="仿宋_GB2312" w:eastAsia="仿宋_GB2312"/>
                      <w:sz w:val="18"/>
                      <w:color w:val="000000"/>
                    </w:rPr>
                    <w:t xml:space="preserve"> 2、工单考核：支持按年月日统计每个标段工单完成情况，</w:t>
                  </w:r>
                  <w:r>
                    <w:br/>
                  </w:r>
                  <w:r>
                    <w:rPr>
                      <w:rFonts w:ascii="仿宋_GB2312" w:hAnsi="仿宋_GB2312" w:cs="仿宋_GB2312" w:eastAsia="仿宋_GB2312"/>
                      <w:sz w:val="18"/>
                      <w:color w:val="000000"/>
                    </w:rPr>
                    <w:t xml:space="preserve"> 包括按时完成数量、超期完成数量，各自所占百分比，根据统计结果对标段进行考核；</w:t>
                  </w:r>
                  <w:r>
                    <w:br/>
                  </w:r>
                  <w:r>
                    <w:rPr>
                      <w:rFonts w:ascii="仿宋_GB2312" w:hAnsi="仿宋_GB2312" w:cs="仿宋_GB2312" w:eastAsia="仿宋_GB2312"/>
                      <w:sz w:val="18"/>
                      <w:color w:val="000000"/>
                    </w:rPr>
                    <w:t xml:space="preserve"> 3、数据可视化：工单统计数据的展示形式有报表、饼状图、柱状图</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管理单位模块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主管部门单位名称，联系人，联系方式，账号，站点管理范围、配置管理。</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管养单位模块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负责设备管养的单位名称，联系人，联系方式，账号，站点管理范围，管养设备类型、配置管理。</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三摇单位模块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设备提供方，现场运维方 名称，联系人，联系方式，账号，站点管理范围、配置管理。</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工单配置模块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设置是否启用工单、工单显示配置、步骤限时配置、工单通知配置、启用工单的控制箱报警类型，启用工单的单灯报警类型；</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系统工单模块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1、下发工单：系统对出现故障的设备，将报警内容通过工单发送给维护人员， 同时通过短信和电话通知维护人员；</w:t>
                  </w:r>
                  <w:r>
                    <w:br/>
                  </w:r>
                  <w:r>
                    <w:rPr>
                      <w:rFonts w:ascii="仿宋_GB2312" w:hAnsi="仿宋_GB2312" w:cs="仿宋_GB2312" w:eastAsia="仿宋_GB2312"/>
                      <w:sz w:val="18"/>
                      <w:color w:val="000000"/>
                    </w:rPr>
                    <w:t xml:space="preserve"> 2、响应工单：工单发出后，维护人员需要执行：接收工单、到达现场、核实故障、故障判定等工单响应步骤；</w:t>
                  </w:r>
                  <w:r>
                    <w:br/>
                  </w:r>
                  <w:r>
                    <w:rPr>
                      <w:rFonts w:ascii="仿宋_GB2312" w:hAnsi="仿宋_GB2312" w:cs="仿宋_GB2312" w:eastAsia="仿宋_GB2312"/>
                      <w:sz w:val="18"/>
                      <w:color w:val="000000"/>
                    </w:rPr>
                    <w:t xml:space="preserve"> 3、处理工单：维护人员要在规定的时间内处理完工单；（可按需修改相关额定参数，但需要工单管理员确认）</w:t>
                  </w:r>
                  <w:r>
                    <w:br/>
                  </w:r>
                  <w:r>
                    <w:rPr>
                      <w:rFonts w:ascii="仿宋_GB2312" w:hAnsi="仿宋_GB2312" w:cs="仿宋_GB2312" w:eastAsia="仿宋_GB2312"/>
                      <w:sz w:val="18"/>
                      <w:color w:val="000000"/>
                    </w:rPr>
                    <w:t xml:space="preserve"> 4、审核工单：维护人员修复故障后，将工单提交给系统审核，系统审核完成后自动结束工单；</w:t>
                  </w:r>
                  <w:r>
                    <w:br/>
                  </w:r>
                  <w:r>
                    <w:rPr>
                      <w:rFonts w:ascii="仿宋_GB2312" w:hAnsi="仿宋_GB2312" w:cs="仿宋_GB2312" w:eastAsia="仿宋_GB2312"/>
                      <w:sz w:val="18"/>
                      <w:color w:val="000000"/>
                    </w:rPr>
                    <w:t xml:space="preserve"> 5、超期判定：对工单的响应和故障修复增加时效性检测，工单响应需在二十分内接警，一小时内到达现场核实故障。故障必须在工单截止时间内修复，并将工单交给系统审核；</w:t>
                  </w:r>
                  <w:r>
                    <w:br/>
                  </w:r>
                  <w:r>
                    <w:rPr>
                      <w:rFonts w:ascii="仿宋_GB2312" w:hAnsi="仿宋_GB2312" w:cs="仿宋_GB2312" w:eastAsia="仿宋_GB2312"/>
                      <w:sz w:val="18"/>
                      <w:color w:val="000000"/>
                    </w:rPr>
                    <w:t xml:space="preserve"> 6、误报反馈：维护人员到达到现场后，如果发现是误报，可以通过&lt;误报反馈&gt;通知三遥维护人员，如果三遥维护人员确认误报，可以将工单结束。如果确认不是误报，则由维护人员继续处理工单；</w:t>
                  </w:r>
                  <w:r>
                    <w:br/>
                  </w:r>
                  <w:r>
                    <w:rPr>
                      <w:rFonts w:ascii="仿宋_GB2312" w:hAnsi="仿宋_GB2312" w:cs="仿宋_GB2312" w:eastAsia="仿宋_GB2312"/>
                      <w:sz w:val="18"/>
                      <w:color w:val="000000"/>
                    </w:rPr>
                    <w:t xml:space="preserve"> 7、延期申请：如果遇到突发情况并且会影响维修进度，维护人员可以管理员申请工单延期， 以避免工单超时；</w:t>
                  </w:r>
                  <w:r>
                    <w:br/>
                  </w:r>
                  <w:r>
                    <w:rPr>
                      <w:rFonts w:ascii="仿宋_GB2312" w:hAnsi="仿宋_GB2312" w:cs="仿宋_GB2312" w:eastAsia="仿宋_GB2312"/>
                      <w:sz w:val="18"/>
                      <w:color w:val="000000"/>
                    </w:rPr>
                    <w:t xml:space="preserve"> 8、工单进度查看：用户可以随时追踪故障处理的进度，查看相关流程的图文信息</w:t>
                  </w:r>
                  <w:r>
                    <w:br/>
                  </w:r>
                  <w:r>
                    <w:rPr>
                      <w:rFonts w:ascii="仿宋_GB2312" w:hAnsi="仿宋_GB2312" w:cs="仿宋_GB2312" w:eastAsia="仿宋_GB2312"/>
                      <w:sz w:val="18"/>
                      <w:color w:val="000000"/>
                    </w:rPr>
                    <w:t xml:space="preserve"> 9、工单数据统计：统计工单的故障分类，为维护人员日常维护提供参考；</w:t>
                  </w:r>
                  <w:r>
                    <w:br/>
                  </w:r>
                  <w:r>
                    <w:rPr>
                      <w:rFonts w:ascii="仿宋_GB2312" w:hAnsi="仿宋_GB2312" w:cs="仿宋_GB2312" w:eastAsia="仿宋_GB2312"/>
                      <w:sz w:val="18"/>
                      <w:color w:val="000000"/>
                    </w:rPr>
                    <w:t xml:space="preserve"> 10、工单通知形式：工单通过多种方式通知相关人员(短信、电话)；</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上报工单模块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1、上报工单：巡查员及网格员发现照明设施设备出现故障通过手动上传工单，填写存在路灯故障或灯容灯貌问题的街道名称、路段名、灯杆号、位置、现场图片和视频等相关信息；</w:t>
                  </w:r>
                  <w:r>
                    <w:br/>
                  </w:r>
                  <w:r>
                    <w:rPr>
                      <w:rFonts w:ascii="仿宋_GB2312" w:hAnsi="仿宋_GB2312" w:cs="仿宋_GB2312" w:eastAsia="仿宋_GB2312"/>
                      <w:sz w:val="18"/>
                      <w:color w:val="000000"/>
                    </w:rPr>
                    <w:t xml:space="preserve"> 2、工单委派：工单上传后，可以由专人将工单派发给对应的维护单位；</w:t>
                  </w:r>
                  <w:r>
                    <w:br/>
                  </w:r>
                  <w:r>
                    <w:rPr>
                      <w:rFonts w:ascii="仿宋_GB2312" w:hAnsi="仿宋_GB2312" w:cs="仿宋_GB2312" w:eastAsia="仿宋_GB2312"/>
                      <w:sz w:val="18"/>
                      <w:color w:val="000000"/>
                    </w:rPr>
                    <w:t xml:space="preserve"> 3、故障核实：维护人员收到工单后，到现场对故障进行核实；</w:t>
                  </w:r>
                  <w:r>
                    <w:br/>
                  </w:r>
                  <w:r>
                    <w:rPr>
                      <w:rFonts w:ascii="仿宋_GB2312" w:hAnsi="仿宋_GB2312" w:cs="仿宋_GB2312" w:eastAsia="仿宋_GB2312"/>
                      <w:sz w:val="18"/>
                      <w:color w:val="000000"/>
                    </w:rPr>
                    <w:t xml:space="preserve"> 4、工单转单：维护人员可以将工单转给其他的维护人员；</w:t>
                  </w:r>
                  <w:r>
                    <w:br/>
                  </w:r>
                  <w:r>
                    <w:rPr>
                      <w:rFonts w:ascii="仿宋_GB2312" w:hAnsi="仿宋_GB2312" w:cs="仿宋_GB2312" w:eastAsia="仿宋_GB2312"/>
                      <w:sz w:val="18"/>
                      <w:color w:val="000000"/>
                    </w:rPr>
                    <w:t xml:space="preserve"> 5、处理工单：故障修复完成后，维护人员将工单提交给管理员审核；</w:t>
                  </w:r>
                  <w:r>
                    <w:br/>
                  </w:r>
                  <w:r>
                    <w:rPr>
                      <w:rFonts w:ascii="仿宋_GB2312" w:hAnsi="仿宋_GB2312" w:cs="仿宋_GB2312" w:eastAsia="仿宋_GB2312"/>
                      <w:sz w:val="18"/>
                      <w:color w:val="000000"/>
                    </w:rPr>
                    <w:t xml:space="preserve"> 6、工单流程反馈：可以在工单页面对工单处理过程中做的相关操作添加评论反馈；</w:t>
                  </w:r>
                  <w:r>
                    <w:br/>
                  </w:r>
                  <w:r>
                    <w:rPr>
                      <w:rFonts w:ascii="仿宋_GB2312" w:hAnsi="仿宋_GB2312" w:cs="仿宋_GB2312" w:eastAsia="仿宋_GB2312"/>
                      <w:sz w:val="18"/>
                      <w:color w:val="000000"/>
                    </w:rPr>
                    <w:t xml:space="preserve"> 7、地理位置查看：可以在地图上查看故障点的详细位置。</w:t>
                  </w:r>
                  <w:r>
                    <w:br/>
                  </w:r>
                  <w:r>
                    <w:rPr>
                      <w:rFonts w:ascii="仿宋_GB2312" w:hAnsi="仿宋_GB2312" w:cs="仿宋_GB2312" w:eastAsia="仿宋_GB2312"/>
                      <w:sz w:val="18"/>
                      <w:color w:val="000000"/>
                    </w:rPr>
                    <w:t xml:space="preserve"> 8、地图导航：可以通过第三方地图导航到达工单所属位置；</w:t>
                  </w:r>
                  <w:r>
                    <w:br/>
                  </w:r>
                  <w:r>
                    <w:rPr>
                      <w:rFonts w:ascii="仿宋_GB2312" w:hAnsi="仿宋_GB2312" w:cs="仿宋_GB2312" w:eastAsia="仿宋_GB2312"/>
                      <w:sz w:val="18"/>
                      <w:color w:val="000000"/>
                    </w:rPr>
                    <w:t xml:space="preserve"> 9、短信通知：工单处理的每个环节，可以视情况通过短信通知相关人员；</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维护工作派单模块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1、日常工作派单：管理员可以给维护人员派发各种日常维护任务，例如：台风过后，管理员给所有街道派发一个巡查任务，让街道巡查各自辖区路灯设施。</w:t>
                  </w:r>
                  <w:r>
                    <w:br/>
                  </w:r>
                  <w:r>
                    <w:rPr>
                      <w:rFonts w:ascii="仿宋_GB2312" w:hAnsi="仿宋_GB2312" w:cs="仿宋_GB2312" w:eastAsia="仿宋_GB2312"/>
                      <w:sz w:val="18"/>
                      <w:color w:val="000000"/>
                    </w:rPr>
                    <w:t xml:space="preserve"> 2、工作单处理：街道收到任务按照相应流程处理派单任务，可上传相关图文信息。</w:t>
                  </w:r>
                  <w:r>
                    <w:br/>
                  </w:r>
                  <w:r>
                    <w:rPr>
                      <w:rFonts w:ascii="仿宋_GB2312" w:hAnsi="仿宋_GB2312" w:cs="仿宋_GB2312" w:eastAsia="仿宋_GB2312"/>
                      <w:sz w:val="18"/>
                      <w:color w:val="000000"/>
                    </w:rPr>
                    <w:t xml:space="preserve"> 3、工作单统计：统计所有派单任务，对街道执行情况进行考核。</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照明资产管理（子系统）</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资产信息录入模块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1、管理单位配置：复用工单的管理单位；</w:t>
                  </w:r>
                  <w:r>
                    <w:br/>
                  </w:r>
                  <w:r>
                    <w:rPr>
                      <w:rFonts w:ascii="仿宋_GB2312" w:hAnsi="仿宋_GB2312" w:cs="仿宋_GB2312" w:eastAsia="仿宋_GB2312"/>
                      <w:sz w:val="18"/>
                      <w:color w:val="000000"/>
                    </w:rPr>
                    <w:t xml:space="preserve"> 2、配电箱信息配置：配置配电箱参数及支路信息，关联道路，关联管理单位；</w:t>
                  </w:r>
                  <w:r>
                    <w:br/>
                  </w:r>
                  <w:r>
                    <w:rPr>
                      <w:rFonts w:ascii="仿宋_GB2312" w:hAnsi="仿宋_GB2312" w:cs="仿宋_GB2312" w:eastAsia="仿宋_GB2312"/>
                      <w:sz w:val="18"/>
                      <w:color w:val="000000"/>
                    </w:rPr>
                    <w:t xml:space="preserve"> 3、灯杆、灯具、 电缆添加：配置灯杆信息（高度、类型、灯臂的类型、数量），灯具（功率、类型、数量），电缆（芯数、材质、每芯截面、长度），关联道路，关联配电箱及支路；</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资产信息配置模块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资产归属单位信息管理</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资产台账模块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包含：控制箱资产管理、支路资产管理、线缆资产管理、灯杆资产管理、单灯资产管理。</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资产变更查询模块 </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记录资产变更的名称、数量、时间、人员及内容；</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资产信息统计模块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1、按管理单位统计：按管理单位统计灯杆的数量、灯具的数量、 电缆的长度、控制箱数量；</w:t>
                  </w:r>
                  <w:r>
                    <w:br/>
                  </w:r>
                  <w:r>
                    <w:rPr>
                      <w:rFonts w:ascii="仿宋_GB2312" w:hAnsi="仿宋_GB2312" w:cs="仿宋_GB2312" w:eastAsia="仿宋_GB2312"/>
                      <w:sz w:val="18"/>
                      <w:color w:val="000000"/>
                    </w:rPr>
                    <w:t xml:space="preserve"> 2、按资产类型统计：统计灯杆的数量、灯具的数量、 电缆的长度、控制箱数量；</w:t>
                  </w:r>
                  <w:r>
                    <w:br/>
                  </w:r>
                  <w:r>
                    <w:rPr>
                      <w:rFonts w:ascii="仿宋_GB2312" w:hAnsi="仿宋_GB2312" w:cs="仿宋_GB2312" w:eastAsia="仿宋_GB2312"/>
                      <w:sz w:val="18"/>
                      <w:color w:val="000000"/>
                    </w:rPr>
                    <w:t xml:space="preserve"> 3、按控制箱统计：统计灯杆的数量、灯具的数量、 电缆的长度；单位资产变更统计：类型资产变更统计：</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能耗分析模块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按日/月/年度进行能耗费用统计、能耗综合分析</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设备状态分析模块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亮灯率趋势分析、在线状态趋势分析</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报警分析模块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报警等级趋势分析、控制箱报警类型排行、单灯报警类型排行</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亮灯率分析模块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此功能可针对单个配电箱监控或整个系统，通过智能照明终端的电参数或单灯监控的数据，计算得出配电箱总功率，通过和历史功率值得比对，得出单个配电箱或系统总体的亮灯率。优先采用单灯监控的采集数据。</w:t>
                  </w:r>
                  <w:r>
                    <w:br/>
                  </w:r>
                  <w:r>
                    <w:rPr>
                      <w:rFonts w:ascii="仿宋_GB2312" w:hAnsi="仿宋_GB2312" w:cs="仿宋_GB2312" w:eastAsia="仿宋_GB2312"/>
                      <w:sz w:val="18"/>
                      <w:color w:val="000000"/>
                    </w:rPr>
                    <w:t xml:space="preserve"> 2、展示日度亮灯率（最高亮灯率）走线图；</w:t>
                  </w:r>
                  <w:r>
                    <w:br/>
                  </w:r>
                  <w:r>
                    <w:rPr>
                      <w:rFonts w:ascii="仿宋_GB2312" w:hAnsi="仿宋_GB2312" w:cs="仿宋_GB2312" w:eastAsia="仿宋_GB2312"/>
                      <w:sz w:val="18"/>
                      <w:color w:val="000000"/>
                    </w:rPr>
                    <w:t xml:space="preserve"> 3、展示亮灯率趋势曲线图；</w:t>
                  </w:r>
                  <w:r>
                    <w:br/>
                  </w:r>
                  <w:r>
                    <w:rPr>
                      <w:rFonts w:ascii="仿宋_GB2312" w:hAnsi="仿宋_GB2312" w:cs="仿宋_GB2312" w:eastAsia="仿宋_GB2312"/>
                      <w:sz w:val="18"/>
                      <w:color w:val="000000"/>
                    </w:rPr>
                    <w:t xml:space="preserve"> 4、亮灯率实时数据列表展示；</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报警安全故障分析模块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1、此功能针对单个配电箱监控或整个系统，按系统设定的报警级别、报警类型分布：</w:t>
                  </w:r>
                  <w:r>
                    <w:br/>
                  </w:r>
                  <w:r>
                    <w:rPr>
                      <w:rFonts w:ascii="仿宋_GB2312" w:hAnsi="仿宋_GB2312" w:cs="仿宋_GB2312" w:eastAsia="仿宋_GB2312"/>
                      <w:sz w:val="18"/>
                      <w:color w:val="000000"/>
                    </w:rPr>
                    <w:t xml:space="preserve"> 2、可分析具体到某一天，或某一时间段</w:t>
                  </w:r>
                  <w:r>
                    <w:br/>
                  </w:r>
                  <w:r>
                    <w:rPr>
                      <w:rFonts w:ascii="仿宋_GB2312" w:hAnsi="仿宋_GB2312" w:cs="仿宋_GB2312" w:eastAsia="仿宋_GB2312"/>
                      <w:sz w:val="18"/>
                      <w:color w:val="000000"/>
                    </w:rPr>
                    <w:t xml:space="preserve"> 3、曲线图趋势展示（发生时间，故障类型，属于什么级别）</w:t>
                  </w:r>
                  <w:r>
                    <w:br/>
                  </w:r>
                  <w:r>
                    <w:rPr>
                      <w:rFonts w:ascii="仿宋_GB2312" w:hAnsi="仿宋_GB2312" w:cs="仿宋_GB2312" w:eastAsia="仿宋_GB2312"/>
                      <w:sz w:val="18"/>
                      <w:color w:val="000000"/>
                    </w:rPr>
                    <w:t xml:space="preserve"> 4、报警记录数据列表</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控制箱能耗分析模块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1、对没有电表的控制箱，则采用计算方式：</w:t>
                  </w:r>
                  <w:r>
                    <w:br/>
                  </w:r>
                  <w:r>
                    <w:rPr>
                      <w:rFonts w:ascii="仿宋_GB2312" w:hAnsi="仿宋_GB2312" w:cs="仿宋_GB2312" w:eastAsia="仿宋_GB2312"/>
                      <w:sz w:val="18"/>
                      <w:color w:val="000000"/>
                    </w:rPr>
                    <w:t xml:space="preserve">    能耗 = 有功功率 * 时长</w:t>
                  </w:r>
                  <w:r>
                    <w:br/>
                  </w:r>
                  <w:r>
                    <w:rPr>
                      <w:rFonts w:ascii="仿宋_GB2312" w:hAnsi="仿宋_GB2312" w:cs="仿宋_GB2312" w:eastAsia="仿宋_GB2312"/>
                      <w:sz w:val="18"/>
                      <w:color w:val="000000"/>
                    </w:rPr>
                    <w:t xml:space="preserve">    有功功率 = 电压 * 电流 * 功率因数</w:t>
                  </w:r>
                  <w:r>
                    <w:br/>
                  </w:r>
                  <w:r>
                    <w:rPr>
                      <w:rFonts w:ascii="仿宋_GB2312" w:hAnsi="仿宋_GB2312" w:cs="仿宋_GB2312" w:eastAsia="仿宋_GB2312"/>
                      <w:sz w:val="18"/>
                      <w:color w:val="000000"/>
                    </w:rPr>
                    <w:t xml:space="preserve"> 2、对有电表的控制箱，则采用电表读数计算：</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单灯能耗分析模块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1、此功能针对有单灯监控配电箱：</w:t>
                  </w:r>
                  <w:r>
                    <w:br/>
                  </w:r>
                  <w:r>
                    <w:rPr>
                      <w:rFonts w:ascii="仿宋_GB2312" w:hAnsi="仿宋_GB2312" w:cs="仿宋_GB2312" w:eastAsia="仿宋_GB2312"/>
                      <w:sz w:val="18"/>
                      <w:color w:val="000000"/>
                    </w:rPr>
                    <w:t xml:space="preserve"> 2、计算单灯数量、单灯能耗，总能耗；</w:t>
                  </w:r>
                  <w:r>
                    <w:br/>
                  </w:r>
                  <w:r>
                    <w:rPr>
                      <w:rFonts w:ascii="仿宋_GB2312" w:hAnsi="仿宋_GB2312" w:cs="仿宋_GB2312" w:eastAsia="仿宋_GB2312"/>
                      <w:sz w:val="18"/>
                      <w:color w:val="000000"/>
                    </w:rPr>
                    <w:t xml:space="preserve"> 3、展示单灯能耗曲线趋势图；</w:t>
                  </w:r>
                  <w:r>
                    <w:br/>
                  </w:r>
                  <w:r>
                    <w:rPr>
                      <w:rFonts w:ascii="仿宋_GB2312" w:hAnsi="仿宋_GB2312" w:cs="仿宋_GB2312" w:eastAsia="仿宋_GB2312"/>
                      <w:sz w:val="18"/>
                      <w:color w:val="000000"/>
                    </w:rPr>
                    <w:t xml:space="preserve"> 4、详细数据列表</w:t>
                  </w:r>
                  <w:r>
                    <w:br/>
                  </w:r>
                  <w:r>
                    <w:rPr>
                      <w:rFonts w:ascii="仿宋_GB2312" w:hAnsi="仿宋_GB2312" w:cs="仿宋_GB2312" w:eastAsia="仿宋_GB2312"/>
                      <w:sz w:val="18"/>
                      <w:color w:val="000000"/>
                    </w:rPr>
                    <w:t xml:space="preserve"> 5、可生成任意时间段的数据报表。</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权限管理（子系统）</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操作权限管理</w:t>
                  </w:r>
                  <w:r>
                    <w:rPr>
                      <w:rFonts w:ascii="仿宋_GB2312" w:hAnsi="仿宋_GB2312" w:cs="仿宋_GB2312" w:eastAsia="仿宋_GB2312"/>
                      <w:sz w:val="18"/>
                      <w:color w:val="000000"/>
                    </w:rPr>
                    <w:t>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用户可操作的功能及菜单；</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数据权限管理</w:t>
                  </w:r>
                  <w:r>
                    <w:rPr>
                      <w:rFonts w:ascii="仿宋_GB2312" w:hAnsi="仿宋_GB2312" w:cs="仿宋_GB2312" w:eastAsia="仿宋_GB2312"/>
                      <w:sz w:val="18"/>
                      <w:color w:val="000000"/>
                    </w:rPr>
                    <w:t>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用户可操作的数据范围；</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组织管理</w:t>
                  </w:r>
                  <w:r>
                    <w:rPr>
                      <w:rFonts w:ascii="仿宋_GB2312" w:hAnsi="仿宋_GB2312" w:cs="仿宋_GB2312" w:eastAsia="仿宋_GB2312"/>
                      <w:sz w:val="18"/>
                      <w:color w:val="000000"/>
                    </w:rPr>
                    <w:t>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用于归集用户、系统特征（LOGO、名称） 、可嵌套；</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用户信息理</w:t>
                  </w:r>
                  <w:r>
                    <w:rPr>
                      <w:rFonts w:ascii="仿宋_GB2312" w:hAnsi="仿宋_GB2312" w:cs="仿宋_GB2312" w:eastAsia="仿宋_GB2312"/>
                      <w:sz w:val="18"/>
                      <w:color w:val="000000"/>
                    </w:rPr>
                    <w:t>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用户基本信息维护，相关操作权限及数据权限；</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系统管理（子系统）</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项目设置</w:t>
                  </w:r>
                  <w:r>
                    <w:rPr>
                      <w:rFonts w:ascii="仿宋_GB2312" w:hAnsi="仿宋_GB2312" w:cs="仿宋_GB2312" w:eastAsia="仿宋_GB2312"/>
                      <w:sz w:val="18"/>
                      <w:color w:val="000000"/>
                    </w:rPr>
                    <w:t>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配置系统名称、LOGO、首页地图中心点经纬度等常用参数；</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项目角色管理</w:t>
                  </w:r>
                  <w:r>
                    <w:rPr>
                      <w:rFonts w:ascii="仿宋_GB2312" w:hAnsi="仿宋_GB2312" w:cs="仿宋_GB2312" w:eastAsia="仿宋_GB2312"/>
                      <w:sz w:val="18"/>
                      <w:color w:val="000000"/>
                    </w:rPr>
                    <w:t>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角色名称，角色说明，角色可操作权限配置</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项目成员管理</w:t>
                  </w:r>
                  <w:r>
                    <w:rPr>
                      <w:rFonts w:ascii="仿宋_GB2312" w:hAnsi="仿宋_GB2312" w:cs="仿宋_GB2312" w:eastAsia="仿宋_GB2312"/>
                      <w:sz w:val="18"/>
                      <w:color w:val="000000"/>
                    </w:rPr>
                    <w:t>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创建或邀请用户，配置用户操作权限和数据权限</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r>
              <w:tc>
                <w:tcPr>
                  <w:tcW w:type="dxa" w:w="263"/>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系统配置</w:t>
                  </w:r>
                  <w:r>
                    <w:rPr>
                      <w:rFonts w:ascii="仿宋_GB2312" w:hAnsi="仿宋_GB2312" w:cs="仿宋_GB2312" w:eastAsia="仿宋_GB2312"/>
                      <w:sz w:val="18"/>
                      <w:color w:val="000000"/>
                    </w:rPr>
                    <w:t>模块</w:t>
                  </w:r>
                </w:p>
              </w:tc>
              <w:tc>
                <w:tcPr>
                  <w:tcW w:type="dxa" w:w="1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1、能耗配置：电价设置，统计偏移时间设置。</w:t>
                  </w:r>
                  <w:r>
                    <w:br/>
                  </w:r>
                  <w:r>
                    <w:rPr>
                      <w:rFonts w:ascii="仿宋_GB2312" w:hAnsi="仿宋_GB2312" w:cs="仿宋_GB2312" w:eastAsia="仿宋_GB2312"/>
                      <w:sz w:val="18"/>
                      <w:color w:val="000000"/>
                    </w:rPr>
                    <w:t xml:space="preserve"> 2、单灯表格配置：单灯监控页面需要显示的参数项选择监控器，控制通道，电流通道，集中器指令和单灯指令需要显示的参数项选择。</w:t>
                  </w:r>
                </w:p>
              </w:tc>
              <w:tc>
                <w:tcPr>
                  <w:tcW w:type="dxa" w:w="137"/>
                  <w:vMerge/>
                  <w:tcBorders>
                    <w:top w:val="single" w:color="000000" w:sz="4"/>
                    <w:left w:val="single" w:color="000000" w:sz="4"/>
                    <w:bottom w:val="single" w:color="000000" w:sz="4"/>
                    <w:right w:val="single" w:color="000000" w:sz="4"/>
                  </w:tcBorders>
                </w:tcPr>
                <w:p/>
              </w:tc>
              <w:tc>
                <w:tcPr>
                  <w:tcW w:type="dxa" w:w="137"/>
                  <w:vMerge/>
                  <w:tcBorders>
                    <w:top w:val="single" w:color="000000" w:sz="4"/>
                    <w:left w:val="single" w:color="000000" w:sz="4"/>
                    <w:bottom w:val="single" w:color="000000" w:sz="4"/>
                    <w:right w:val="single" w:color="000000" w:sz="4"/>
                  </w:tcBorders>
                </w:tcPr>
                <w:p/>
              </w:tc>
              <w:tc>
                <w:tcPr>
                  <w:tcW w:type="dxa" w:w="238"/>
                  <w:vMerge/>
                  <w:tcBorders>
                    <w:top w:val="singl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263"/>
              <w:gridCol w:w="592"/>
              <w:gridCol w:w="592"/>
              <w:gridCol w:w="592"/>
              <w:gridCol w:w="137"/>
              <w:gridCol w:w="137"/>
              <w:gridCol w:w="238"/>
            </w:tblGrid>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物联网卡服务</w:t>
                  </w:r>
                </w:p>
              </w:tc>
              <w:tc>
                <w:tcPr>
                  <w:tcW w:type="dxa" w:w="1776"/>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对西乡县城区48条道路及背街小巷，提供356台节能控制终端和48台节能集中控制器的物联网卡服务费，共计404张，100M/月/张，服务费包含8年流量费用。</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404</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张</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投标报价包含8年流量费用</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263"/>
              <w:gridCol w:w="592"/>
              <w:gridCol w:w="592"/>
              <w:gridCol w:w="592"/>
              <w:gridCol w:w="137"/>
              <w:gridCol w:w="137"/>
              <w:gridCol w:w="238"/>
            </w:tblGrid>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设备与系统调测服务</w:t>
                  </w:r>
                </w:p>
              </w:tc>
              <w:tc>
                <w:tcPr>
                  <w:tcW w:type="dxa" w:w="1776"/>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1、对1047台150W\100W\75W\50W节能控制设备、356台节能控制终端、48台集中控制器，共计1451台设备与系统平台集成、扫码定位、调测等服务。</w:t>
                  </w:r>
                  <w:r>
                    <w:br/>
                  </w:r>
                  <w:r>
                    <w:rPr>
                      <w:rFonts w:ascii="仿宋_GB2312" w:hAnsi="仿宋_GB2312" w:cs="仿宋_GB2312" w:eastAsia="仿宋_GB2312"/>
                      <w:sz w:val="18"/>
                      <w:color w:val="000000"/>
                    </w:rPr>
                    <w:t xml:space="preserve"> 2、检查调整线路，对改造后的道路主灯辅灯分组接线，实现辅灯夜间控制。</w:t>
                  </w:r>
                  <w:r>
                    <w:br/>
                  </w:r>
                  <w:r>
                    <w:rPr>
                      <w:rFonts w:ascii="仿宋_GB2312" w:hAnsi="仿宋_GB2312" w:cs="仿宋_GB2312" w:eastAsia="仿宋_GB2312"/>
                      <w:sz w:val="18"/>
                      <w:color w:val="000000"/>
                    </w:rPr>
                    <w:t xml:space="preserve"> 3、含1047台原设备拆除。</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263"/>
              <w:gridCol w:w="592"/>
              <w:gridCol w:w="592"/>
              <w:gridCol w:w="592"/>
              <w:gridCol w:w="137"/>
              <w:gridCol w:w="137"/>
              <w:gridCol w:w="238"/>
            </w:tblGrid>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控制箱及元器件升级改造</w:t>
                  </w:r>
                </w:p>
              </w:tc>
              <w:tc>
                <w:tcPr>
                  <w:tcW w:type="dxa" w:w="1776"/>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1、对26个无法满足使用需求的控制箱进行升级改造（更换原有箱体、内部配套的电气元件和安装辅材等）。</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single"/>
                <w:left w:val="single"/>
                <w:bottom w:val="single"/>
                <w:right w:val="single"/>
                <w:insideH w:val="single"/>
                <w:insideV w:val="single"/>
              </w:tblBorders>
            </w:tblPr>
            <w:tblGrid>
              <w:gridCol w:w="263"/>
              <w:gridCol w:w="592"/>
              <w:gridCol w:w="592"/>
              <w:gridCol w:w="592"/>
              <w:gridCol w:w="137"/>
              <w:gridCol w:w="137"/>
              <w:gridCol w:w="238"/>
            </w:tblGrid>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电力保障服务</w:t>
                  </w:r>
                </w:p>
              </w:tc>
              <w:tc>
                <w:tcPr>
                  <w:tcW w:type="dxa" w:w="1776"/>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提供一套ups备电系统，主机功率：6KVA，负载：1KW,备电时长不低于3小时</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263"/>
              <w:gridCol w:w="592"/>
              <w:gridCol w:w="592"/>
              <w:gridCol w:w="592"/>
              <w:gridCol w:w="137"/>
              <w:gridCol w:w="137"/>
              <w:gridCol w:w="238"/>
            </w:tblGrid>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显示系统</w:t>
                  </w:r>
                </w:p>
              </w:tc>
              <w:tc>
                <w:tcPr>
                  <w:tcW w:type="dxa" w:w="1776"/>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1、屏幕尺寸：不低于100寸</w:t>
                  </w:r>
                  <w:r>
                    <w:br/>
                  </w:r>
                  <w:r>
                    <w:rPr>
                      <w:rFonts w:ascii="仿宋_GB2312" w:hAnsi="仿宋_GB2312" w:cs="仿宋_GB2312" w:eastAsia="仿宋_GB2312"/>
                      <w:sz w:val="18"/>
                      <w:color w:val="000000"/>
                    </w:rPr>
                    <w:t xml:space="preserve"> 2、分辨率：不低于1920*1080</w:t>
                  </w:r>
                  <w:r>
                    <w:br/>
                  </w:r>
                  <w:r>
                    <w:rPr>
                      <w:rFonts w:ascii="仿宋_GB2312" w:hAnsi="仿宋_GB2312" w:cs="仿宋_GB2312" w:eastAsia="仿宋_GB2312"/>
                      <w:sz w:val="18"/>
                      <w:color w:val="000000"/>
                    </w:rPr>
                    <w:t xml:space="preserve"> 3、屏幕比例：16：9</w:t>
                  </w:r>
                  <w:r>
                    <w:br/>
                  </w:r>
                  <w:r>
                    <w:rPr>
                      <w:rFonts w:ascii="仿宋_GB2312" w:hAnsi="仿宋_GB2312" w:cs="仿宋_GB2312" w:eastAsia="仿宋_GB2312"/>
                      <w:sz w:val="18"/>
                      <w:color w:val="000000"/>
                    </w:rPr>
                    <w:t xml:space="preserve"> 4、功能要求：支持触控操作、无线投屏、多种接口、多种安装方式；</w:t>
                  </w:r>
                  <w:r>
                    <w:br/>
                  </w:r>
                  <w:r>
                    <w:rPr>
                      <w:rFonts w:ascii="仿宋_GB2312" w:hAnsi="仿宋_GB2312" w:cs="仿宋_GB2312" w:eastAsia="仿宋_GB2312"/>
                      <w:sz w:val="18"/>
                      <w:color w:val="000000"/>
                    </w:rPr>
                    <w:t xml:space="preserve"> 5、系统支持：Windows或Android</w:t>
                  </w:r>
                  <w:r>
                    <w:br/>
                  </w:r>
                  <w:r>
                    <w:rPr>
                      <w:rFonts w:ascii="仿宋_GB2312" w:hAnsi="仿宋_GB2312" w:cs="仿宋_GB2312" w:eastAsia="仿宋_GB2312"/>
                      <w:sz w:val="18"/>
                      <w:color w:val="000000"/>
                    </w:rPr>
                    <w:t xml:space="preserve"> 6、系统运行内存不低于4G，存储不低于256G。</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single"/>
                <w:left w:val="single"/>
                <w:bottom w:val="single"/>
                <w:right w:val="single"/>
                <w:insideH w:val="single"/>
                <w:insideV w:val="single"/>
              </w:tblBorders>
            </w:tblPr>
            <w:tblGrid>
              <w:gridCol w:w="263"/>
              <w:gridCol w:w="592"/>
              <w:gridCol w:w="592"/>
              <w:gridCol w:w="592"/>
              <w:gridCol w:w="137"/>
              <w:gridCol w:w="137"/>
              <w:gridCol w:w="238"/>
            </w:tblGrid>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能耗管理服务</w:t>
                  </w:r>
                </w:p>
              </w:tc>
              <w:tc>
                <w:tcPr>
                  <w:tcW w:type="dxa" w:w="1776"/>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对西乡县城区48条道路及背街小巷的1047盏灯具及光源设备进行控制节能、能耗管理；2、能独立或分组控制，开关灯、预设调光控制等，实现二次节能。3、加入光照度传感器，通过光照度传感器监测天气明暗，管理平台通过监测到的照度值，自动进行路灯的开关控制。4、提供8年人员驻场服务，包含：日常维护、技术支撑、日常运维、巡检等服务。</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238"/>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single"/>
                <w:left w:val="single"/>
                <w:bottom w:val="single"/>
                <w:right w:val="single"/>
                <w:insideH w:val="single"/>
                <w:insideV w:val="single"/>
              </w:tblBorders>
            </w:tblPr>
            <w:tblGrid>
              <w:gridCol w:w="350"/>
              <w:gridCol w:w="1624"/>
              <w:gridCol w:w="138"/>
              <w:gridCol w:w="219"/>
              <w:gridCol w:w="219"/>
            </w:tblGrid>
            <w:tr>
              <w:tc>
                <w:tcPr>
                  <w:tcW w:type="dxa" w:w="350"/>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名称</w:t>
                  </w:r>
                </w:p>
              </w:tc>
              <w:tc>
                <w:tcPr>
                  <w:tcW w:type="dxa" w:w="1624"/>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功能参数</w:t>
                  </w:r>
                </w:p>
              </w:tc>
              <w:tc>
                <w:tcPr>
                  <w:tcW w:type="dxa" w:w="138"/>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数量</w:t>
                  </w:r>
                </w:p>
              </w:tc>
              <w:tc>
                <w:tcPr>
                  <w:tcW w:type="dxa" w:w="219"/>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单位</w:t>
                  </w:r>
                </w:p>
              </w:tc>
              <w:tc>
                <w:tcPr>
                  <w:tcW w:type="dxa" w:w="219"/>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备注</w:t>
                  </w:r>
                </w:p>
              </w:tc>
            </w:tr>
            <w:tr>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150W节能控制设备</w:t>
                  </w:r>
                </w:p>
              </w:tc>
              <w:tc>
                <w:tcPr>
                  <w:tcW w:type="dxa" w:w="1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1.规格：150W，LED投光灯；</w:t>
                  </w:r>
                  <w:r>
                    <w:br/>
                  </w:r>
                  <w:r>
                    <w:rPr>
                      <w:rFonts w:ascii="仿宋_GB2312" w:hAnsi="仿宋_GB2312" w:cs="仿宋_GB2312" w:eastAsia="仿宋_GB2312"/>
                      <w:sz w:val="18"/>
                      <w:color w:val="000000"/>
                    </w:rPr>
                    <w:t xml:space="preserve"> 2.稳态功率偏差不超过±5W；</w:t>
                  </w:r>
                  <w:r>
                    <w:br/>
                  </w:r>
                  <w:r>
                    <w:rPr>
                      <w:rFonts w:ascii="仿宋_GB2312" w:hAnsi="仿宋_GB2312" w:cs="仿宋_GB2312" w:eastAsia="仿宋_GB2312"/>
                      <w:sz w:val="18"/>
                      <w:color w:val="000000"/>
                    </w:rPr>
                    <w:t xml:space="preserve"> 3.色温2700K，偏差不超过±200K，</w:t>
                  </w:r>
                  <w:r>
                    <w:br/>
                  </w:r>
                  <w:r>
                    <w:rPr>
                      <w:rFonts w:ascii="仿宋_GB2312" w:hAnsi="仿宋_GB2312" w:cs="仿宋_GB2312" w:eastAsia="仿宋_GB2312"/>
                      <w:sz w:val="18"/>
                      <w:color w:val="000000"/>
                    </w:rPr>
                    <w:t xml:space="preserve"> ▲4.整灯系统光效≥170lm/W；</w:t>
                  </w:r>
                  <w:r>
                    <w:br/>
                  </w:r>
                  <w:r>
                    <w:rPr>
                      <w:rFonts w:ascii="仿宋_GB2312" w:hAnsi="仿宋_GB2312" w:cs="仿宋_GB2312" w:eastAsia="仿宋_GB2312"/>
                      <w:sz w:val="18"/>
                      <w:color w:val="000000"/>
                    </w:rPr>
                    <w:t xml:space="preserve"> 5.显色指数不低于70Ra，色容差不超过7SDCM；</w:t>
                  </w:r>
                  <w:r>
                    <w:br/>
                  </w:r>
                  <w:r>
                    <w:rPr>
                      <w:rFonts w:ascii="仿宋_GB2312" w:hAnsi="仿宋_GB2312" w:cs="仿宋_GB2312" w:eastAsia="仿宋_GB2312"/>
                      <w:sz w:val="18"/>
                      <w:color w:val="000000"/>
                    </w:rPr>
                    <w:t xml:space="preserve"> 6.灯壳采用一体式压铸成型的铝外壳，灯具需配304不锈钢防坠绳；</w:t>
                  </w:r>
                  <w:r>
                    <w:br/>
                  </w:r>
                  <w:r>
                    <w:rPr>
                      <w:rFonts w:ascii="仿宋_GB2312" w:hAnsi="仿宋_GB2312" w:cs="仿宋_GB2312" w:eastAsia="仿宋_GB2312"/>
                      <w:sz w:val="18"/>
                      <w:color w:val="000000"/>
                    </w:rPr>
                    <w:t xml:space="preserve"> ▲7.使用寿命不少于50000小时；</w:t>
                  </w:r>
                  <w:r>
                    <w:br/>
                  </w:r>
                  <w:r>
                    <w:rPr>
                      <w:rFonts w:ascii="仿宋_GB2312" w:hAnsi="仿宋_GB2312" w:cs="仿宋_GB2312" w:eastAsia="仿宋_GB2312"/>
                      <w:sz w:val="18"/>
                      <w:color w:val="000000"/>
                    </w:rPr>
                    <w:t xml:space="preserve"> ▲8.LED模组光源采用高光效贴片3030或5050灯珠，3030灯珠数量不少于72颗，5050灯珠数量不少于32颗，模组防水且不低于IP68；</w:t>
                  </w:r>
                  <w:r>
                    <w:br/>
                  </w:r>
                  <w:r>
                    <w:rPr>
                      <w:rFonts w:ascii="仿宋_GB2312" w:hAnsi="仿宋_GB2312" w:cs="仿宋_GB2312" w:eastAsia="仿宋_GB2312"/>
                      <w:sz w:val="18"/>
                      <w:color w:val="000000"/>
                    </w:rPr>
                    <w:t xml:space="preserve"> 9.偏光20～30度，灯具散热性能良好，正常点亮时灯珠焊点与模组散热片表面温差≤2℃；</w:t>
                  </w:r>
                  <w:r>
                    <w:br/>
                  </w:r>
                  <w:r>
                    <w:rPr>
                      <w:rFonts w:ascii="仿宋_GB2312" w:hAnsi="仿宋_GB2312" w:cs="仿宋_GB2312" w:eastAsia="仿宋_GB2312"/>
                      <w:sz w:val="18"/>
                      <w:color w:val="000000"/>
                    </w:rPr>
                    <w:t xml:space="preserve"> ▲10.灯具的电气安全性应符合7000.1-2015灯具第1部分一般要求与试验的要求。</w:t>
                  </w:r>
                  <w:r>
                    <w:br/>
                  </w:r>
                  <w:r>
                    <w:rPr>
                      <w:rFonts w:ascii="仿宋_GB2312" w:hAnsi="仿宋_GB2312" w:cs="仿宋_GB2312" w:eastAsia="仿宋_GB2312"/>
                      <w:sz w:val="18"/>
                      <w:color w:val="000000"/>
                    </w:rPr>
                    <w:t xml:space="preserve"> 11.防护等级不低于IP65</w:t>
                  </w:r>
                  <w:r>
                    <w:br/>
                  </w:r>
                  <w:r>
                    <w:rPr>
                      <w:rFonts w:ascii="仿宋_GB2312" w:hAnsi="仿宋_GB2312" w:cs="仿宋_GB2312" w:eastAsia="仿宋_GB2312"/>
                      <w:sz w:val="18"/>
                      <w:color w:val="000000"/>
                    </w:rPr>
                    <w:t xml:space="preserve"> ▲12.驱动电源须提供CCC质量认证；</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92</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single"/>
                <w:left w:val="single"/>
                <w:bottom w:val="single"/>
                <w:right w:val="single"/>
                <w:insideH w:val="single"/>
                <w:insideV w:val="single"/>
              </w:tblBorders>
            </w:tblPr>
            <w:tblGrid>
              <w:gridCol w:w="350"/>
              <w:gridCol w:w="1624"/>
              <w:gridCol w:w="138"/>
              <w:gridCol w:w="219"/>
              <w:gridCol w:w="219"/>
            </w:tblGrid>
            <w:tr>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100W节能控制设备</w:t>
                  </w:r>
                </w:p>
              </w:tc>
              <w:tc>
                <w:tcPr>
                  <w:tcW w:type="dxa" w:w="1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1.规格：100W，LED路灯；</w:t>
                  </w:r>
                  <w:r>
                    <w:br/>
                  </w:r>
                  <w:r>
                    <w:rPr>
                      <w:rFonts w:ascii="仿宋_GB2312" w:hAnsi="仿宋_GB2312" w:cs="仿宋_GB2312" w:eastAsia="仿宋_GB2312"/>
                      <w:sz w:val="18"/>
                      <w:color w:val="000000"/>
                    </w:rPr>
                    <w:t xml:space="preserve"> 2.稳态功率偏差不超过±5W；</w:t>
                  </w:r>
                  <w:r>
                    <w:br/>
                  </w:r>
                  <w:r>
                    <w:rPr>
                      <w:rFonts w:ascii="仿宋_GB2312" w:hAnsi="仿宋_GB2312" w:cs="仿宋_GB2312" w:eastAsia="仿宋_GB2312"/>
                      <w:sz w:val="18"/>
                      <w:color w:val="000000"/>
                    </w:rPr>
                    <w:t xml:space="preserve"> 3.色温2700K，偏差不超过±200K；</w:t>
                  </w:r>
                  <w:r>
                    <w:br/>
                  </w:r>
                  <w:r>
                    <w:rPr>
                      <w:rFonts w:ascii="仿宋_GB2312" w:hAnsi="仿宋_GB2312" w:cs="仿宋_GB2312" w:eastAsia="仿宋_GB2312"/>
                      <w:sz w:val="18"/>
                      <w:color w:val="000000"/>
                    </w:rPr>
                    <w:t xml:space="preserve"> ▲4.整灯系统光效≥170lm/W；</w:t>
                  </w:r>
                  <w:r>
                    <w:br/>
                  </w:r>
                  <w:r>
                    <w:rPr>
                      <w:rFonts w:ascii="仿宋_GB2312" w:hAnsi="仿宋_GB2312" w:cs="仿宋_GB2312" w:eastAsia="仿宋_GB2312"/>
                      <w:sz w:val="18"/>
                      <w:color w:val="000000"/>
                    </w:rPr>
                    <w:t xml:space="preserve"> 5.显色指数不低于70Ra，色容差不超过7SDCM；</w:t>
                  </w:r>
                  <w:r>
                    <w:br/>
                  </w:r>
                  <w:r>
                    <w:rPr>
                      <w:rFonts w:ascii="仿宋_GB2312" w:hAnsi="仿宋_GB2312" w:cs="仿宋_GB2312" w:eastAsia="仿宋_GB2312"/>
                      <w:sz w:val="18"/>
                      <w:color w:val="000000"/>
                    </w:rPr>
                    <w:t xml:space="preserve"> 6.灯壳采用一体式压铸成型的铝外壳，灯具需配304不锈钢防坠绳；</w:t>
                  </w:r>
                  <w:r>
                    <w:br/>
                  </w:r>
                  <w:r>
                    <w:rPr>
                      <w:rFonts w:ascii="仿宋_GB2312" w:hAnsi="仿宋_GB2312" w:cs="仿宋_GB2312" w:eastAsia="仿宋_GB2312"/>
                      <w:sz w:val="18"/>
                      <w:color w:val="000000"/>
                    </w:rPr>
                    <w:t xml:space="preserve"> ▲7.使用寿命不少于50000小时；</w:t>
                  </w:r>
                  <w:r>
                    <w:br/>
                  </w:r>
                  <w:r>
                    <w:rPr>
                      <w:rFonts w:ascii="仿宋_GB2312" w:hAnsi="仿宋_GB2312" w:cs="仿宋_GB2312" w:eastAsia="仿宋_GB2312"/>
                      <w:sz w:val="18"/>
                      <w:color w:val="000000"/>
                    </w:rPr>
                    <w:t xml:space="preserve"> ▲8.LED模组光源采用高光效贴片3030或5050灯珠，3030灯珠数量不少于72颗，5050灯珠数量不少于32颗，模组防水且不低于IP68；</w:t>
                  </w:r>
                  <w:r>
                    <w:br/>
                  </w:r>
                  <w:r>
                    <w:rPr>
                      <w:rFonts w:ascii="仿宋_GB2312" w:hAnsi="仿宋_GB2312" w:cs="仿宋_GB2312" w:eastAsia="仿宋_GB2312"/>
                      <w:sz w:val="18"/>
                      <w:color w:val="000000"/>
                    </w:rPr>
                    <w:t xml:space="preserve"> 9.偏光20～30度，灯具散热性能良好，正常点亮时灯珠焊点与模组散热片表面温差≤2℃；</w:t>
                  </w:r>
                  <w:r>
                    <w:br/>
                  </w:r>
                  <w:r>
                    <w:rPr>
                      <w:rFonts w:ascii="仿宋_GB2312" w:hAnsi="仿宋_GB2312" w:cs="仿宋_GB2312" w:eastAsia="仿宋_GB2312"/>
                      <w:sz w:val="18"/>
                      <w:color w:val="000000"/>
                    </w:rPr>
                    <w:t xml:space="preserve"> ▲10.灯具的电气安全性应符合7000.1-2015灯具第1部分一般要求与试验的要求；</w:t>
                  </w:r>
                  <w:r>
                    <w:br/>
                  </w:r>
                  <w:r>
                    <w:rPr>
                      <w:rFonts w:ascii="仿宋_GB2312" w:hAnsi="仿宋_GB2312" w:cs="仿宋_GB2312" w:eastAsia="仿宋_GB2312"/>
                      <w:sz w:val="18"/>
                      <w:color w:val="000000"/>
                    </w:rPr>
                    <w:t xml:space="preserve"> 11.防护等级不低于IP65；</w:t>
                  </w:r>
                  <w:r>
                    <w:br/>
                  </w:r>
                  <w:r>
                    <w:rPr>
                      <w:rFonts w:ascii="仿宋_GB2312" w:hAnsi="仿宋_GB2312" w:cs="仿宋_GB2312" w:eastAsia="仿宋_GB2312"/>
                      <w:sz w:val="18"/>
                      <w:color w:val="000000"/>
                    </w:rPr>
                    <w:t xml:space="preserve"> ▲12.驱动电源须提供CCC质量认证；</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Borders>
                <w:top w:val="single"/>
                <w:left w:val="single"/>
                <w:bottom w:val="single"/>
                <w:right w:val="single"/>
                <w:insideH w:val="single"/>
                <w:insideV w:val="single"/>
              </w:tblBorders>
            </w:tblPr>
            <w:tblGrid>
              <w:gridCol w:w="335"/>
              <w:gridCol w:w="1552"/>
              <w:gridCol w:w="132"/>
              <w:gridCol w:w="210"/>
              <w:gridCol w:w="322"/>
            </w:tblGrid>
            <w:tr>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75W节能控制设备</w:t>
                  </w:r>
                </w:p>
              </w:tc>
              <w:tc>
                <w:tcPr>
                  <w:tcW w:type="dxa" w:w="1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1.规格：75W，LED路灯；</w:t>
                  </w:r>
                  <w:r>
                    <w:br/>
                  </w:r>
                  <w:r>
                    <w:rPr>
                      <w:rFonts w:ascii="仿宋_GB2312" w:hAnsi="仿宋_GB2312" w:cs="仿宋_GB2312" w:eastAsia="仿宋_GB2312"/>
                      <w:sz w:val="18"/>
                      <w:color w:val="000000"/>
                    </w:rPr>
                    <w:t xml:space="preserve"> 2.稳态功率偏差不超过±5W；</w:t>
                  </w:r>
                  <w:r>
                    <w:br/>
                  </w:r>
                  <w:r>
                    <w:rPr>
                      <w:rFonts w:ascii="仿宋_GB2312" w:hAnsi="仿宋_GB2312" w:cs="仿宋_GB2312" w:eastAsia="仿宋_GB2312"/>
                      <w:sz w:val="18"/>
                      <w:color w:val="000000"/>
                    </w:rPr>
                    <w:t xml:space="preserve"> 3.色温2700K，偏差不超过±200K；</w:t>
                  </w:r>
                  <w:r>
                    <w:br/>
                  </w:r>
                  <w:r>
                    <w:rPr>
                      <w:rFonts w:ascii="仿宋_GB2312" w:hAnsi="仿宋_GB2312" w:cs="仿宋_GB2312" w:eastAsia="仿宋_GB2312"/>
                      <w:sz w:val="18"/>
                      <w:color w:val="000000"/>
                    </w:rPr>
                    <w:t xml:space="preserve"> ▲4.整灯系统光效≥170lm/W；</w:t>
                  </w:r>
                  <w:r>
                    <w:br/>
                  </w:r>
                  <w:r>
                    <w:rPr>
                      <w:rFonts w:ascii="仿宋_GB2312" w:hAnsi="仿宋_GB2312" w:cs="仿宋_GB2312" w:eastAsia="仿宋_GB2312"/>
                      <w:sz w:val="18"/>
                      <w:color w:val="000000"/>
                    </w:rPr>
                    <w:t xml:space="preserve"> 5.显色指数不低于70Ra，色容差不超过7SDCM；</w:t>
                  </w:r>
                  <w:r>
                    <w:br/>
                  </w:r>
                  <w:r>
                    <w:rPr>
                      <w:rFonts w:ascii="仿宋_GB2312" w:hAnsi="仿宋_GB2312" w:cs="仿宋_GB2312" w:eastAsia="仿宋_GB2312"/>
                      <w:sz w:val="18"/>
                      <w:color w:val="000000"/>
                    </w:rPr>
                    <w:t xml:space="preserve"> 6.灯壳采用一体式压铸成型的铝外壳，灯具需配304不锈钢防坠绳；</w:t>
                  </w:r>
                  <w:r>
                    <w:br/>
                  </w:r>
                  <w:r>
                    <w:rPr>
                      <w:rFonts w:ascii="仿宋_GB2312" w:hAnsi="仿宋_GB2312" w:cs="仿宋_GB2312" w:eastAsia="仿宋_GB2312"/>
                      <w:sz w:val="18"/>
                      <w:color w:val="000000"/>
                    </w:rPr>
                    <w:t xml:space="preserve"> ▲7.使用寿命不少于50000小时；</w:t>
                  </w:r>
                  <w:r>
                    <w:br/>
                  </w:r>
                  <w:r>
                    <w:rPr>
                      <w:rFonts w:ascii="仿宋_GB2312" w:hAnsi="仿宋_GB2312" w:cs="仿宋_GB2312" w:eastAsia="仿宋_GB2312"/>
                      <w:sz w:val="18"/>
                      <w:color w:val="000000"/>
                    </w:rPr>
                    <w:t xml:space="preserve"> ▲8.LED模组光源采用高光效贴片3030或5050灯珠，3030灯珠数量不少于72颗，5050灯珠数量不少于32颗，模组防水且不低于IP68；</w:t>
                  </w:r>
                  <w:r>
                    <w:br/>
                  </w:r>
                  <w:r>
                    <w:rPr>
                      <w:rFonts w:ascii="仿宋_GB2312" w:hAnsi="仿宋_GB2312" w:cs="仿宋_GB2312" w:eastAsia="仿宋_GB2312"/>
                      <w:sz w:val="18"/>
                      <w:color w:val="000000"/>
                    </w:rPr>
                    <w:t xml:space="preserve"> 8.偏光20～30度，灯具散热性能良好，正常点亮时灯珠焊点与模组散热片表面温差≤2℃；</w:t>
                  </w:r>
                  <w:r>
                    <w:br/>
                  </w:r>
                  <w:r>
                    <w:rPr>
                      <w:rFonts w:ascii="仿宋_GB2312" w:hAnsi="仿宋_GB2312" w:cs="仿宋_GB2312" w:eastAsia="仿宋_GB2312"/>
                      <w:sz w:val="18"/>
                      <w:color w:val="000000"/>
                    </w:rPr>
                    <w:t xml:space="preserve"> ▲9.灯具的电气安全性应符合7000.1-2015灯具第1部分一般要求与试验的要求；</w:t>
                  </w:r>
                  <w:r>
                    <w:br/>
                  </w:r>
                  <w:r>
                    <w:rPr>
                      <w:rFonts w:ascii="仿宋_GB2312" w:hAnsi="仿宋_GB2312" w:cs="仿宋_GB2312" w:eastAsia="仿宋_GB2312"/>
                      <w:sz w:val="18"/>
                      <w:color w:val="000000"/>
                    </w:rPr>
                    <w:t xml:space="preserve"> 10.防护等级不低于IP65；</w:t>
                  </w:r>
                  <w:r>
                    <w:br/>
                  </w:r>
                  <w:r>
                    <w:rPr>
                      <w:rFonts w:ascii="仿宋_GB2312" w:hAnsi="仿宋_GB2312" w:cs="仿宋_GB2312" w:eastAsia="仿宋_GB2312"/>
                      <w:sz w:val="18"/>
                      <w:color w:val="000000"/>
                    </w:rPr>
                    <w:t xml:space="preserve"> ▲11.驱动电源须提供CCC质量认证；</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145</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single"/>
                <w:left w:val="single"/>
                <w:bottom w:val="single"/>
                <w:right w:val="single"/>
                <w:insideH w:val="single"/>
                <w:insideV w:val="single"/>
              </w:tblBorders>
            </w:tblPr>
            <w:tblGrid>
              <w:gridCol w:w="335"/>
              <w:gridCol w:w="1552"/>
              <w:gridCol w:w="132"/>
              <w:gridCol w:w="210"/>
              <w:gridCol w:w="322"/>
            </w:tblGrid>
            <w:tr>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50W节能控制设备</w:t>
                  </w:r>
                </w:p>
              </w:tc>
              <w:tc>
                <w:tcPr>
                  <w:tcW w:type="dxa" w:w="1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1.规格：50W，LED路灯；</w:t>
                  </w:r>
                  <w:r>
                    <w:br/>
                  </w:r>
                  <w:r>
                    <w:rPr>
                      <w:rFonts w:ascii="仿宋_GB2312" w:hAnsi="仿宋_GB2312" w:cs="仿宋_GB2312" w:eastAsia="仿宋_GB2312"/>
                      <w:sz w:val="18"/>
                      <w:color w:val="000000"/>
                    </w:rPr>
                    <w:t xml:space="preserve"> 2.稳态功率偏差不超过±5W；</w:t>
                  </w:r>
                  <w:r>
                    <w:br/>
                  </w:r>
                  <w:r>
                    <w:rPr>
                      <w:rFonts w:ascii="仿宋_GB2312" w:hAnsi="仿宋_GB2312" w:cs="仿宋_GB2312" w:eastAsia="仿宋_GB2312"/>
                      <w:sz w:val="18"/>
                      <w:color w:val="000000"/>
                    </w:rPr>
                    <w:t xml:space="preserve"> 3.色温2700K，偏差不超过±200K；</w:t>
                  </w:r>
                  <w:r>
                    <w:br/>
                  </w:r>
                  <w:r>
                    <w:rPr>
                      <w:rFonts w:ascii="仿宋_GB2312" w:hAnsi="仿宋_GB2312" w:cs="仿宋_GB2312" w:eastAsia="仿宋_GB2312"/>
                      <w:sz w:val="18"/>
                      <w:color w:val="000000"/>
                    </w:rPr>
                    <w:t xml:space="preserve"> ▲4.整灯系统光效≥170lm/W；</w:t>
                  </w:r>
                  <w:r>
                    <w:br/>
                  </w:r>
                  <w:r>
                    <w:rPr>
                      <w:rFonts w:ascii="仿宋_GB2312" w:hAnsi="仿宋_GB2312" w:cs="仿宋_GB2312" w:eastAsia="仿宋_GB2312"/>
                      <w:sz w:val="18"/>
                      <w:color w:val="000000"/>
                    </w:rPr>
                    <w:t xml:space="preserve"> 5.显色指数不低于70Ra，色容差不超过7SDCM；</w:t>
                  </w:r>
                  <w:r>
                    <w:br/>
                  </w:r>
                  <w:r>
                    <w:rPr>
                      <w:rFonts w:ascii="仿宋_GB2312" w:hAnsi="仿宋_GB2312" w:cs="仿宋_GB2312" w:eastAsia="仿宋_GB2312"/>
                      <w:sz w:val="18"/>
                      <w:color w:val="000000"/>
                    </w:rPr>
                    <w:t xml:space="preserve"> 6.灯壳采用一体式压铸成型的铝外壳，灯具需配304不锈钢防坠绳；</w:t>
                  </w:r>
                  <w:r>
                    <w:br/>
                  </w:r>
                  <w:r>
                    <w:rPr>
                      <w:rFonts w:ascii="仿宋_GB2312" w:hAnsi="仿宋_GB2312" w:cs="仿宋_GB2312" w:eastAsia="仿宋_GB2312"/>
                      <w:sz w:val="18"/>
                      <w:color w:val="000000"/>
                    </w:rPr>
                    <w:t xml:space="preserve"> ▲7.使用寿命不少于50000小时；</w:t>
                  </w:r>
                  <w:r>
                    <w:br/>
                  </w:r>
                  <w:r>
                    <w:rPr>
                      <w:rFonts w:ascii="仿宋_GB2312" w:hAnsi="仿宋_GB2312" w:cs="仿宋_GB2312" w:eastAsia="仿宋_GB2312"/>
                      <w:sz w:val="18"/>
                      <w:color w:val="000000"/>
                    </w:rPr>
                    <w:t xml:space="preserve"> ▲8.LED模组光源采用高光效贴片3030或5050灯珠，3030灯珠数量不少于72颗，5050灯珠数量不少于32颗，模组防水且不低于IP68；</w:t>
                  </w:r>
                  <w:r>
                    <w:br/>
                  </w:r>
                  <w:r>
                    <w:rPr>
                      <w:rFonts w:ascii="仿宋_GB2312" w:hAnsi="仿宋_GB2312" w:cs="仿宋_GB2312" w:eastAsia="仿宋_GB2312"/>
                      <w:sz w:val="18"/>
                      <w:color w:val="000000"/>
                    </w:rPr>
                    <w:t xml:space="preserve"> 9.偏光20～30度，灯具散热性能良好，正常点亮时灯珠焊点与模组散热片表面温差≤2℃；</w:t>
                  </w:r>
                  <w:r>
                    <w:br/>
                  </w:r>
                  <w:r>
                    <w:rPr>
                      <w:rFonts w:ascii="仿宋_GB2312" w:hAnsi="仿宋_GB2312" w:cs="仿宋_GB2312" w:eastAsia="仿宋_GB2312"/>
                      <w:sz w:val="18"/>
                      <w:color w:val="000000"/>
                    </w:rPr>
                    <w:t xml:space="preserve"> ▲10.灯具的电气安全性应符合7000.1-2015灯具第1部分一般要求与试验的要求；</w:t>
                  </w:r>
                  <w:r>
                    <w:br/>
                  </w:r>
                  <w:r>
                    <w:rPr>
                      <w:rFonts w:ascii="仿宋_GB2312" w:hAnsi="仿宋_GB2312" w:cs="仿宋_GB2312" w:eastAsia="仿宋_GB2312"/>
                      <w:sz w:val="18"/>
                      <w:color w:val="000000"/>
                    </w:rPr>
                    <w:t xml:space="preserve"> 11.防护等级不低于IP65；</w:t>
                  </w:r>
                  <w:r>
                    <w:br/>
                  </w:r>
                  <w:r>
                    <w:rPr>
                      <w:rFonts w:ascii="仿宋_GB2312" w:hAnsi="仿宋_GB2312" w:cs="仿宋_GB2312" w:eastAsia="仿宋_GB2312"/>
                      <w:sz w:val="18"/>
                      <w:color w:val="000000"/>
                    </w:rPr>
                    <w:t xml:space="preserve"> ▲12.驱动电源须获得CCC认证；</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546</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single"/>
                <w:left w:val="single"/>
                <w:bottom w:val="single"/>
                <w:right w:val="single"/>
                <w:insideH w:val="single"/>
                <w:insideV w:val="single"/>
              </w:tblBorders>
            </w:tblPr>
            <w:tblGrid>
              <w:gridCol w:w="335"/>
              <w:gridCol w:w="1552"/>
              <w:gridCol w:w="132"/>
              <w:gridCol w:w="210"/>
              <w:gridCol w:w="322"/>
            </w:tblGrid>
            <w:tr>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节能控制终端</w:t>
                  </w:r>
                </w:p>
              </w:tc>
              <w:tc>
                <w:tcPr>
                  <w:tcW w:type="dxa" w:w="1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1.规格：4G通信方式，支持本地控制、远程控制，支持点控和组控，控制灯具的开关和调光；</w:t>
                  </w:r>
                  <w:r>
                    <w:br/>
                  </w:r>
                  <w:r>
                    <w:rPr>
                      <w:rFonts w:ascii="仿宋_GB2312" w:hAnsi="仿宋_GB2312" w:cs="仿宋_GB2312" w:eastAsia="仿宋_GB2312"/>
                      <w:sz w:val="18"/>
                      <w:color w:val="000000"/>
                    </w:rPr>
                    <w:t xml:space="preserve"> 2.控制器在AC 60～420V,47～63Hz的输入电压下都可以正常工作。防雷防浪涌差模≥8KV，共模≥8KV；工作温度：温度：-40℃</w:t>
                  </w:r>
                  <w:r>
                    <w:rPr>
                      <w:rFonts w:ascii="仿宋_GB2312" w:hAnsi="仿宋_GB2312" w:cs="仿宋_GB2312" w:eastAsia="仿宋_GB2312"/>
                      <w:sz w:val="18"/>
                      <w:color w:val="000000"/>
                    </w:rPr>
                    <w:t>~</w:t>
                  </w:r>
                  <w:r>
                    <w:rPr>
                      <w:rFonts w:ascii="仿宋_GB2312" w:hAnsi="仿宋_GB2312" w:cs="仿宋_GB2312" w:eastAsia="仿宋_GB2312"/>
                      <w:sz w:val="18"/>
                      <w:color w:val="000000"/>
                    </w:rPr>
                    <w:t>85℃；</w:t>
                  </w:r>
                  <w:r>
                    <w:br/>
                  </w:r>
                  <w:r>
                    <w:rPr>
                      <w:rFonts w:ascii="仿宋_GB2312" w:hAnsi="仿宋_GB2312" w:cs="仿宋_GB2312" w:eastAsia="仿宋_GB2312"/>
                      <w:sz w:val="18"/>
                      <w:color w:val="000000"/>
                    </w:rPr>
                    <w:t xml:space="preserve"> 3.DC0-10V调光或PWM调光方式输出，调光误差不超过±1%，调光响应时间&lt;2s；</w:t>
                  </w:r>
                  <w:r>
                    <w:br/>
                  </w:r>
                  <w:r>
                    <w:rPr>
                      <w:rFonts w:ascii="仿宋_GB2312" w:hAnsi="仿宋_GB2312" w:cs="仿宋_GB2312" w:eastAsia="仿宋_GB2312"/>
                      <w:sz w:val="18"/>
                      <w:color w:val="000000"/>
                    </w:rPr>
                    <w:t xml:space="preserve"> 4.输入电压实时测量采集，测量范围AC 0-420V，额定电压220V时，测量误差≤±1%；</w:t>
                  </w:r>
                  <w:r>
                    <w:br/>
                  </w:r>
                  <w:r>
                    <w:rPr>
                      <w:rFonts w:ascii="仿宋_GB2312" w:hAnsi="仿宋_GB2312" w:cs="仿宋_GB2312" w:eastAsia="仿宋_GB2312"/>
                      <w:sz w:val="18"/>
                      <w:color w:val="000000"/>
                    </w:rPr>
                    <w:t xml:space="preserve"> 5.1-4路输入电流实时测量采集，测量范围：AC0-15A，输出电流2A时，测量误差≤±1%；</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356</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single"/>
                <w:left w:val="single"/>
                <w:bottom w:val="single"/>
                <w:right w:val="single"/>
                <w:insideH w:val="single"/>
                <w:insideV w:val="single"/>
              </w:tblBorders>
            </w:tblPr>
            <w:tblGrid>
              <w:gridCol w:w="335"/>
              <w:gridCol w:w="1552"/>
              <w:gridCol w:w="132"/>
              <w:gridCol w:w="210"/>
              <w:gridCol w:w="322"/>
            </w:tblGrid>
            <w:tr>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节能集中控制器</w:t>
                  </w:r>
                </w:p>
              </w:tc>
              <w:tc>
                <w:tcPr>
                  <w:tcW w:type="dxa" w:w="1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br/>
                  </w:r>
                  <w:r>
                    <w:rPr>
                      <w:rFonts w:ascii="仿宋_GB2312" w:hAnsi="仿宋_GB2312" w:cs="仿宋_GB2312" w:eastAsia="仿宋_GB2312"/>
                      <w:sz w:val="18"/>
                      <w:color w:val="000000"/>
                    </w:rPr>
                    <w:t xml:space="preserve"> 1.供电：AC170V—AC300V；</w:t>
                  </w:r>
                  <w:r>
                    <w:br/>
                  </w:r>
                  <w:r>
                    <w:rPr>
                      <w:rFonts w:ascii="仿宋_GB2312" w:hAnsi="仿宋_GB2312" w:cs="仿宋_GB2312" w:eastAsia="仿宋_GB2312"/>
                      <w:sz w:val="18"/>
                      <w:color w:val="000000"/>
                    </w:rPr>
                    <w:t xml:space="preserve"> 2.通讯方式：支持 4G、RJ45 等通讯方式，支持 VPN、VPDN、APN 等多种加密方式；</w:t>
                  </w:r>
                  <w:r>
                    <w:br/>
                  </w:r>
                  <w:r>
                    <w:rPr>
                      <w:rFonts w:ascii="仿宋_GB2312" w:hAnsi="仿宋_GB2312" w:cs="仿宋_GB2312" w:eastAsia="仿宋_GB2312"/>
                      <w:sz w:val="18"/>
                      <w:color w:val="000000"/>
                    </w:rPr>
                    <w:t xml:space="preserve"> 3.设备检查到欠/过压、缺相、停电、欠/ 过流、开关量输入状态变化时能主动报警到系统平台；设备可以设定欠/过压(值可设定)、过流(值可设定)自动断电保护，设备支持白天亮灯报警和夜晚关灯主动报警；</w:t>
                  </w:r>
                  <w:r>
                    <w:br/>
                  </w:r>
                  <w:r>
                    <w:rPr>
                      <w:rFonts w:ascii="仿宋_GB2312" w:hAnsi="仿宋_GB2312" w:cs="仿宋_GB2312" w:eastAsia="仿宋_GB2312"/>
                      <w:sz w:val="18"/>
                      <w:color w:val="000000"/>
                    </w:rPr>
                    <w:t xml:space="preserve"> 4.设备外壳防护：不低于IP55；</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single"/>
                <w:left w:val="single"/>
                <w:bottom w:val="single"/>
                <w:right w:val="single"/>
                <w:insideH w:val="single"/>
                <w:insideV w:val="single"/>
              </w:tblBorders>
            </w:tblPr>
            <w:tblGrid>
              <w:gridCol w:w="335"/>
              <w:gridCol w:w="1552"/>
              <w:gridCol w:w="132"/>
              <w:gridCol w:w="210"/>
              <w:gridCol w:w="322"/>
            </w:tblGrid>
            <w:tr>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150W单臂路灯</w:t>
                  </w:r>
                </w:p>
              </w:tc>
              <w:tc>
                <w:tcPr>
                  <w:tcW w:type="dxa" w:w="1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1.名称:单臂路灯；</w:t>
                  </w:r>
                  <w:r>
                    <w:br/>
                  </w:r>
                  <w:r>
                    <w:rPr>
                      <w:rFonts w:ascii="仿宋_GB2312" w:hAnsi="仿宋_GB2312" w:cs="仿宋_GB2312" w:eastAsia="仿宋_GB2312"/>
                      <w:sz w:val="18"/>
                      <w:color w:val="000000"/>
                    </w:rPr>
                    <w:t xml:space="preserve"> 2.灯杆材质厚度3.25mm、高度:灯杆高度8m；</w:t>
                  </w:r>
                  <w:r>
                    <w:br/>
                  </w:r>
                  <w:r>
                    <w:rPr>
                      <w:rFonts w:ascii="仿宋_GB2312" w:hAnsi="仿宋_GB2312" w:cs="仿宋_GB2312" w:eastAsia="仿宋_GB2312"/>
                      <w:sz w:val="18"/>
                      <w:color w:val="000000"/>
                    </w:rPr>
                    <w:t xml:space="preserve"> 3.灯架形式及臂长:单湾臂；</w:t>
                  </w:r>
                  <w:r>
                    <w:br/>
                  </w:r>
                  <w:r>
                    <w:rPr>
                      <w:rFonts w:ascii="仿宋_GB2312" w:hAnsi="仿宋_GB2312" w:cs="仿宋_GB2312" w:eastAsia="仿宋_GB2312"/>
                      <w:sz w:val="18"/>
                      <w:color w:val="000000"/>
                    </w:rPr>
                    <w:t xml:space="preserve"> 4.光源数量:150W，配备安装支架及附件；</w:t>
                  </w:r>
                  <w:r>
                    <w:br/>
                  </w:r>
                  <w:r>
                    <w:rPr>
                      <w:rFonts w:ascii="仿宋_GB2312" w:hAnsi="仿宋_GB2312" w:cs="仿宋_GB2312" w:eastAsia="仿宋_GB2312"/>
                      <w:sz w:val="18"/>
                      <w:color w:val="000000"/>
                    </w:rPr>
                    <w:t xml:space="preserve"> 5.光源种类:LED光源；</w:t>
                  </w:r>
                  <w:r>
                    <w:br/>
                  </w:r>
                  <w:r>
                    <w:rPr>
                      <w:rFonts w:ascii="仿宋_GB2312" w:hAnsi="仿宋_GB2312" w:cs="仿宋_GB2312" w:eastAsia="仿宋_GB2312"/>
                      <w:sz w:val="18"/>
                      <w:color w:val="000000"/>
                    </w:rPr>
                    <w:t xml:space="preserve"> 6.10A单匹空开；</w:t>
                  </w:r>
                  <w:r>
                    <w:br/>
                  </w:r>
                  <w:r>
                    <w:rPr>
                      <w:rFonts w:ascii="仿宋_GB2312" w:hAnsi="仿宋_GB2312" w:cs="仿宋_GB2312" w:eastAsia="仿宋_GB2312"/>
                      <w:sz w:val="18"/>
                      <w:color w:val="000000"/>
                    </w:rPr>
                    <w:t xml:space="preserve"> 7.包含运输、安装、调试等；</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灯杆质保期不低于10年</w:t>
                  </w: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Borders>
                <w:top w:val="single"/>
                <w:left w:val="single"/>
                <w:bottom w:val="single"/>
                <w:right w:val="single"/>
                <w:insideH w:val="single"/>
                <w:insideV w:val="single"/>
              </w:tblBorders>
            </w:tblPr>
            <w:tblGrid>
              <w:gridCol w:w="335"/>
              <w:gridCol w:w="1552"/>
              <w:gridCol w:w="132"/>
              <w:gridCol w:w="210"/>
              <w:gridCol w:w="322"/>
            </w:tblGrid>
            <w:tr>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1#电力电缆</w:t>
                  </w:r>
                </w:p>
              </w:tc>
              <w:tc>
                <w:tcPr>
                  <w:tcW w:type="dxa" w:w="1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1.型号、规格：4*25，下火线缆；</w:t>
                  </w:r>
                  <w:r>
                    <w:br/>
                  </w:r>
                  <w:r>
                    <w:rPr>
                      <w:rFonts w:ascii="仿宋_GB2312" w:hAnsi="仿宋_GB2312" w:cs="仿宋_GB2312" w:eastAsia="仿宋_GB2312"/>
                      <w:sz w:val="18"/>
                      <w:color w:val="000000"/>
                    </w:rPr>
                    <w:t xml:space="preserve"> 2.材质：铜芯；</w:t>
                  </w:r>
                  <w:r>
                    <w:br/>
                  </w:r>
                  <w:r>
                    <w:rPr>
                      <w:rFonts w:ascii="仿宋_GB2312" w:hAnsi="仿宋_GB2312" w:cs="仿宋_GB2312" w:eastAsia="仿宋_GB2312"/>
                      <w:sz w:val="18"/>
                      <w:color w:val="000000"/>
                    </w:rPr>
                    <w:t xml:space="preserve"> 3.电压等级（kV）：0.6/1KV； </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rPr>
                    <w:t>具体数量以项目实际需要</w:t>
                  </w:r>
                </w:p>
                <w:p>
                  <w:pPr>
                    <w:pStyle w:val="null3"/>
                  </w:pPr>
                  <w:r>
                    <w:rPr>
                      <w:rFonts w:ascii="仿宋_GB2312" w:hAnsi="仿宋_GB2312" w:cs="仿宋_GB2312" w:eastAsia="仿宋_GB2312"/>
                      <w:sz w:val="18"/>
                    </w:rPr>
                    <w:t>及采购人要求为准</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single"/>
                <w:left w:val="single"/>
                <w:bottom w:val="single"/>
                <w:right w:val="single"/>
                <w:insideH w:val="single"/>
                <w:insideV w:val="single"/>
              </w:tblBorders>
            </w:tblPr>
            <w:tblGrid>
              <w:gridCol w:w="335"/>
              <w:gridCol w:w="1552"/>
              <w:gridCol w:w="132"/>
              <w:gridCol w:w="210"/>
              <w:gridCol w:w="322"/>
            </w:tblGrid>
            <w:tr>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2#电力电缆</w:t>
                  </w:r>
                </w:p>
              </w:tc>
              <w:tc>
                <w:tcPr>
                  <w:tcW w:type="dxa" w:w="1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1.型号、规格：YJV4*16+1*10，地埋；</w:t>
                  </w:r>
                  <w:r>
                    <w:br/>
                  </w:r>
                  <w:r>
                    <w:rPr>
                      <w:rFonts w:ascii="仿宋_GB2312" w:hAnsi="仿宋_GB2312" w:cs="仿宋_GB2312" w:eastAsia="仿宋_GB2312"/>
                      <w:sz w:val="18"/>
                      <w:color w:val="000000"/>
                    </w:rPr>
                    <w:t xml:space="preserve"> 2.材质：铜芯；</w:t>
                  </w:r>
                  <w:r>
                    <w:br/>
                  </w:r>
                  <w:r>
                    <w:rPr>
                      <w:rFonts w:ascii="仿宋_GB2312" w:hAnsi="仿宋_GB2312" w:cs="仿宋_GB2312" w:eastAsia="仿宋_GB2312"/>
                      <w:sz w:val="18"/>
                      <w:color w:val="000000"/>
                    </w:rPr>
                    <w:t xml:space="preserve"> 3.电压等级（kV）：0.6/1KV； </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1760</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rPr>
                    <w:t>具体数量以项目实际需要</w:t>
                  </w:r>
                </w:p>
                <w:p>
                  <w:pPr>
                    <w:pStyle w:val="null3"/>
                    <w:jc w:val="center"/>
                  </w:pPr>
                  <w:r>
                    <w:rPr>
                      <w:rFonts w:ascii="仿宋_GB2312" w:hAnsi="仿宋_GB2312" w:cs="仿宋_GB2312" w:eastAsia="仿宋_GB2312"/>
                      <w:sz w:val="18"/>
                    </w:rPr>
                    <w:t>及采购人要求为准</w:t>
                  </w:r>
                </w:p>
              </w:tc>
            </w:tr>
          </w:tbl>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Borders>
                <w:top w:val="single"/>
                <w:left w:val="single"/>
                <w:bottom w:val="single"/>
                <w:right w:val="single"/>
                <w:insideH w:val="single"/>
                <w:insideV w:val="single"/>
              </w:tblBorders>
            </w:tblPr>
            <w:tblGrid>
              <w:gridCol w:w="335"/>
              <w:gridCol w:w="1552"/>
              <w:gridCol w:w="132"/>
              <w:gridCol w:w="210"/>
              <w:gridCol w:w="322"/>
            </w:tblGrid>
            <w:tr>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路灯底座</w:t>
                  </w:r>
                </w:p>
              </w:tc>
              <w:tc>
                <w:tcPr>
                  <w:tcW w:type="dxa" w:w="1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900*900*1200mm/c20混凝土基础，含钢筋、混凝等。</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Borders>
                <w:top w:val="single"/>
                <w:left w:val="single"/>
                <w:bottom w:val="single"/>
                <w:right w:val="single"/>
                <w:insideH w:val="single"/>
                <w:insideV w:val="single"/>
              </w:tblBorders>
            </w:tblPr>
            <w:tblGrid>
              <w:gridCol w:w="335"/>
              <w:gridCol w:w="1552"/>
              <w:gridCol w:w="132"/>
              <w:gridCol w:w="210"/>
              <w:gridCol w:w="322"/>
            </w:tblGrid>
            <w:tr>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手孔井</w:t>
                  </w:r>
                </w:p>
              </w:tc>
              <w:tc>
                <w:tcPr>
                  <w:tcW w:type="dxa" w:w="1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300*300*400</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Borders>
                <w:top w:val="single"/>
                <w:left w:val="single"/>
                <w:bottom w:val="single"/>
                <w:right w:val="single"/>
                <w:insideH w:val="single"/>
                <w:insideV w:val="single"/>
              </w:tblBorders>
            </w:tblPr>
            <w:tblGrid>
              <w:gridCol w:w="335"/>
              <w:gridCol w:w="1552"/>
              <w:gridCol w:w="132"/>
              <w:gridCol w:w="210"/>
              <w:gridCol w:w="322"/>
            </w:tblGrid>
            <w:tr>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PE-65线管</w:t>
                  </w:r>
                </w:p>
              </w:tc>
              <w:tc>
                <w:tcPr>
                  <w:tcW w:type="dxa" w:w="1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1.名称：碳素螺纹管；</w:t>
                  </w:r>
                  <w:r>
                    <w:br/>
                  </w:r>
                  <w:r>
                    <w:rPr>
                      <w:rFonts w:ascii="仿宋_GB2312" w:hAnsi="仿宋_GB2312" w:cs="仿宋_GB2312" w:eastAsia="仿宋_GB2312"/>
                      <w:sz w:val="18"/>
                      <w:color w:val="000000"/>
                    </w:rPr>
                    <w:t xml:space="preserve"> 2.型号、规格：PE-63；</w:t>
                  </w:r>
                  <w:r>
                    <w:br/>
                  </w:r>
                  <w:r>
                    <w:rPr>
                      <w:rFonts w:ascii="仿宋_GB2312" w:hAnsi="仿宋_GB2312" w:cs="仿宋_GB2312" w:eastAsia="仿宋_GB2312"/>
                      <w:sz w:val="18"/>
                      <w:color w:val="000000"/>
                    </w:rPr>
                    <w:t xml:space="preserve"> 3.敷设方式、部位：电缆沟内；</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1600</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rPr>
                    <w:t>具体数量以项目实际需要</w:t>
                  </w:r>
                </w:p>
                <w:p>
                  <w:pPr>
                    <w:pStyle w:val="null3"/>
                    <w:jc w:val="center"/>
                  </w:pPr>
                  <w:r>
                    <w:rPr>
                      <w:rFonts w:ascii="仿宋_GB2312" w:hAnsi="仿宋_GB2312" w:cs="仿宋_GB2312" w:eastAsia="仿宋_GB2312"/>
                      <w:sz w:val="18"/>
                    </w:rPr>
                    <w:t>及采购人要求为准</w:t>
                  </w:r>
                </w:p>
              </w:tc>
            </w:tr>
          </w:tbl>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Borders>
                <w:top w:val="single"/>
                <w:left w:val="single"/>
                <w:bottom w:val="single"/>
                <w:right w:val="single"/>
                <w:insideH w:val="single"/>
                <w:insideV w:val="single"/>
              </w:tblBorders>
            </w:tblPr>
            <w:tblGrid>
              <w:gridCol w:w="335"/>
              <w:gridCol w:w="1552"/>
              <w:gridCol w:w="132"/>
              <w:gridCol w:w="210"/>
              <w:gridCol w:w="322"/>
            </w:tblGrid>
            <w:tr>
              <w:tc>
                <w:tcPr>
                  <w:tcW w:type="dxa" w:w="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电缆沟槽开挖回填</w:t>
                  </w:r>
                </w:p>
              </w:tc>
              <w:tc>
                <w:tcPr>
                  <w:tcW w:type="dxa" w:w="1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1..规格：300mm*500mm(宽+深)；</w:t>
                  </w:r>
                  <w:r>
                    <w:br/>
                  </w:r>
                  <w:r>
                    <w:rPr>
                      <w:rFonts w:ascii="仿宋_GB2312" w:hAnsi="仿宋_GB2312" w:cs="仿宋_GB2312" w:eastAsia="仿宋_GB2312"/>
                      <w:sz w:val="18"/>
                      <w:color w:val="000000"/>
                    </w:rPr>
                    <w:t xml:space="preserve"> 2.材质：混凝土、及软土恢复材料；</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1600</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w:t>
                  </w:r>
                </w:p>
              </w:tc>
              <w:tc>
                <w:tcPr>
                  <w:tcW w:type="dxa" w:w="3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rPr>
                    <w:t>具体数量以项目实际需要</w:t>
                  </w:r>
                </w:p>
                <w:p>
                  <w:pPr>
                    <w:pStyle w:val="null3"/>
                    <w:jc w:val="center"/>
                  </w:pPr>
                  <w:r>
                    <w:rPr>
                      <w:rFonts w:ascii="仿宋_GB2312" w:hAnsi="仿宋_GB2312" w:cs="仿宋_GB2312" w:eastAsia="仿宋_GB2312"/>
                      <w:sz w:val="18"/>
                    </w:rPr>
                    <w:t>及采购人要求为准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自签订合同之日起60天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货物到场之后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验收完成之后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满足国家及行业相关规定，满足采购人实际使用需求。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质保期（年）：软件类服务期不得低于8年；硬件类质保期不得低于5年；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 （二）按《民法典》中的相关条款进行商定并补充。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1、交货期（天）：自签订合同之日起60天； 2、质保期（服务期）：软件类服务期不得低于8年；硬件类质保期不得低于5年； 3、本项目投标报价不得超过本项目最高现价要求，超出按废标处理； 4、本项目投标报价包含完成本项目所需的全部内容，包括但不限于：所有的软件、硬件设备的运输、安装、调试、验收、运维、驻场服务等。 5、本项目为非单一产品（货物）采购的，投标货物：1.150W节能控制设备；2.100W节能控制设备；3.75W节能控制设备；4.50W节能控制设备。以上4种投标货物为核心产品，不同供应商提供了任意一个相同品牌的核心产品，即视为提供相同品牌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 注： （1）不同性质的法人或其他组织或自然人可按照国家法律规定提供合法资质,特殊行业投标人的分支机构投标，其财务状况、税收缴纳、社会保障资金缴纳等由主管单位或总公司代缴（代管）的，需提供相应情况说明。 （2）投标单位负责人为同一人或者存在直接控股、管理关系的不同供应商，不得同时参加本项目政府采购活动，否则按废标处理。 （3）投标单位要充分考虑知识产权问题，应保证采购单位免除且承担由于投标单位在其本国使用该项目所需的材料和设计或其任何一部分时而引起第三方提出的侵犯专利权、商标权或工业设计权的起诉、行动、行政程序索赔、请求等，以及采购单位为此而产生的损失和损害、费用和支出（包括律师费）。 （4）根据《关于在政府采购活动中查询及使用信用记录有关问题的通知》(财库[2016]125号)的规定，对列入失信被执行人、重大税收违法案件当事人名单、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w:t>
            </w:r>
          </w:p>
        </w:tc>
        <w:tc>
          <w:tcPr>
            <w:tcW w:type="dxa" w:w="3322"/>
          </w:tcPr>
          <w:p>
            <w:pPr>
              <w:pStyle w:val="null3"/>
            </w:pPr>
            <w:r>
              <w:rPr>
                <w:rFonts w:ascii="仿宋_GB2312" w:hAnsi="仿宋_GB2312" w:cs="仿宋_GB2312" w:eastAsia="仿宋_GB2312"/>
              </w:rPr>
              <w:t>说明：（1）本项目为非专门面向中小企业，中小微企业参与投标的按规定执行价格扣除政策。 （2）中小企业划分标准详见“工信部联企业〔2011〕300号通知”。 （3）供应商应投标文件中按要求提供《中小企业声明函》，否则将不享受相关价格评审加分政策。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响应报价未超过采购预算或最高限价的为合格，响应报价超过采购预算或最高限价为不合格。</w:t>
            </w:r>
          </w:p>
        </w:tc>
        <w:tc>
          <w:tcPr>
            <w:tcW w:type="dxa" w:w="1661"/>
          </w:tcPr>
          <w:p>
            <w:pPr>
              <w:pStyle w:val="null3"/>
            </w:pPr>
            <w:r>
              <w:rPr>
                <w:rFonts w:ascii="仿宋_GB2312" w:hAnsi="仿宋_GB2312" w:cs="仿宋_GB2312" w:eastAsia="仿宋_GB2312"/>
              </w:rPr>
              <w:t>开标一览表 投标函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投标文件有效期满足招标文件要求的为合格，无投标文件有效期或有效期达不到招标文件要求的为不合格；</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商务要求满足采购文件要求为合格 ，商务要求不满足招标文件要求的为不合格。</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 投标产品的技术参数，投标文件中应逐条对应技术参数进行响应； （1）完全符合、响应招标文件要求，没有负偏离，得基准分15.0分。 （2）投标人必须在投标文件中对招标要求的“▲”技术参数进行逐一响应，并提供相应证明材料。未提供佐证材料的，按负偏离处理，每有1项以基准分为基础扣3.0分，扣完为止。 （3）非“▲”参数每负偏离1项以基准分为基础扣1.0分，扣完为止。 注：“▲”技术参数须提供充足的佐证材料包括但不限于提供第三方质量认证或第三方检测机构出具的检验报告或功能截图（加盖制造商单位公章）或功能声明函（加盖制造商单位公章）或产品说明书或产品彩页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技术参数证明材料.docx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针对本项目编制实施方案，内容包括： ①项目背景理解及需求分析； ②项目实施方案；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详细评审1-实施方案.docx</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一、评审内容 投标人应提供针对本项目的质量管理方案，方案内容至少包含：①质量管理制度；②质量保证承诺；依据投标方案响应情况进行赋分；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详细评审2-质量管理方案.docx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一、评审内容 针对本项目编制详细的服务进度保障方案，内容包括： ①进度计划保证措施；②按期完工的具体进度安排及计划表； 二、赋分标准 1、完整性：方案内容完整全面，对上述各项内容均有描述及说明，得4.0分；缺1项，得2.0分；缺2项，得0分。 2、针对性：针对性强，得3.0分；针对性一般，得2.0分；缺乏针对性，得1.0分；未按要求进行响应的，得0分。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详细评审3-进度保障方案.docx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供应商提供针对本项目制定详细、可行的售后服务方案，方案包含：①售后服务内容及售后服务人员配置；②故障处理响应时间安排计划及针对突发事件的应急措施和解决方案； 二、赋分标准 1、完整性：方案内容完整全面，对上述各项内容均有描述及说明，得4.0分；缺1项，得2.0分；缺2项，得0分。 2、针对性：针对性强，得3.0分；针对性一般，得2.0分；缺乏针对性，得1.0分；未按要求进行响应的，得0分。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详细评审4-售后服务方案.docx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 1、投标人提供2021年1月1日以来完成过同类或类似项目合同，每提供一份得2.0分，最高得2.0分； 注：投标文件中提供加盖单位公章的合同关键页（至少含签订合同双方单位名称、合同项目名称及签订合同双方的落款盖章、签订日期的关键页）复印件作为评分依据，资料不全不得分；2、投标人提供的已完同类或类似项目业绩，同时具有合同甲方单位出具的验收报告或用户评价证明的，每有1份满足要求得1.0分，最高得1.0分；（注：投标文件中提供证明材料复印件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详细评审5-业绩.docx</w:t>
            </w:r>
          </w:p>
        </w:tc>
      </w:tr>
      <w:tr>
        <w:tc>
          <w:tcPr>
            <w:tcW w:type="dxa" w:w="831"/>
            <w:vMerge/>
          </w:tcPr>
          <w:p/>
        </w:tc>
        <w:tc>
          <w:tcPr>
            <w:tcW w:type="dxa" w:w="1661"/>
          </w:tcPr>
          <w:p>
            <w:pPr>
              <w:pStyle w:val="null3"/>
            </w:pPr>
            <w:r>
              <w:rPr>
                <w:rFonts w:ascii="仿宋_GB2312" w:hAnsi="仿宋_GB2312" w:cs="仿宋_GB2312" w:eastAsia="仿宋_GB2312"/>
              </w:rPr>
              <w:t>增值服务方案</w:t>
            </w:r>
          </w:p>
        </w:tc>
        <w:tc>
          <w:tcPr>
            <w:tcW w:type="dxa" w:w="2492"/>
          </w:tcPr>
          <w:p>
            <w:pPr>
              <w:pStyle w:val="null3"/>
            </w:pPr>
            <w:r>
              <w:rPr>
                <w:rFonts w:ascii="仿宋_GB2312" w:hAnsi="仿宋_GB2312" w:cs="仿宋_GB2312" w:eastAsia="仿宋_GB2312"/>
              </w:rPr>
              <w:t>评审内容 供应商根据自身情况提供相关增值服务方案包括但不限于，提供相关配件、备品、业务服务等。增值服务方案合理可行、切实有利于项目履约保障的得2分，否则不得分。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详细评审6-增值服务.docx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第一步：投标总报价低于或等于财政预算价格的，为有效投标报价。超财政预算的投标报价为无效投标报价。无效投标报价的投标文件不进行评审，也不得中标。 第二步：价格分采用低价优先法计算，即满足招标文件要求且投标价格最低的投标报价为评标基准价，其价格分为满分。 其他投标单位的价格分统一按照下列公式计算： 投标报价得分=（评标基准价/投标报价）*30%*100，小数点后保留两位，第三位四舍五入。 注：推荐确定中标候选供应商之前，评标小组认为，排在前面的候选供应商的最终报价或者某些分项报价明显不合理或者低于成本，有可能影响商品质量和不能诚信履约的，应当要求其在规定的期限内提供书面文件予以说明理由，并提交相关证明材料。否则，评标小组可以取消该供应商的候选资格，按顺序由排在其次的候选供应商递补，以此类推。 说明：（1）本项目为非专门面向中小企业，中小微企业参与投标的按规定执行价格扣除政策。 （2）中小企业划分标准详见“工信部联企业〔2011〕300号通知”。 （3）供应商应投标文件中按要求提供《中小企业声明函》，否则将不享受相关价格评审加分政策。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详见附件：详细评审1-实施方案.docx</w:t>
      </w:r>
    </w:p>
    <w:p>
      <w:pPr>
        <w:pStyle w:val="null3"/>
        <w:ind w:firstLine="960"/>
      </w:pPr>
      <w:r>
        <w:rPr>
          <w:rFonts w:ascii="仿宋_GB2312" w:hAnsi="仿宋_GB2312" w:cs="仿宋_GB2312" w:eastAsia="仿宋_GB2312"/>
        </w:rPr>
        <w:t>详见附件：详细评审2-质量管理方案.docx</w:t>
      </w:r>
    </w:p>
    <w:p>
      <w:pPr>
        <w:pStyle w:val="null3"/>
        <w:ind w:firstLine="960"/>
      </w:pPr>
      <w:r>
        <w:rPr>
          <w:rFonts w:ascii="仿宋_GB2312" w:hAnsi="仿宋_GB2312" w:cs="仿宋_GB2312" w:eastAsia="仿宋_GB2312"/>
        </w:rPr>
        <w:t>详见附件：详细评审3-进度保障方案.docx</w:t>
      </w:r>
    </w:p>
    <w:p>
      <w:pPr>
        <w:pStyle w:val="null3"/>
        <w:ind w:firstLine="960"/>
      </w:pPr>
      <w:r>
        <w:rPr>
          <w:rFonts w:ascii="仿宋_GB2312" w:hAnsi="仿宋_GB2312" w:cs="仿宋_GB2312" w:eastAsia="仿宋_GB2312"/>
        </w:rPr>
        <w:t>详见附件：详细评审4-售后服务方案.docx</w:t>
      </w:r>
    </w:p>
    <w:p>
      <w:pPr>
        <w:pStyle w:val="null3"/>
        <w:ind w:firstLine="960"/>
      </w:pPr>
      <w:r>
        <w:rPr>
          <w:rFonts w:ascii="仿宋_GB2312" w:hAnsi="仿宋_GB2312" w:cs="仿宋_GB2312" w:eastAsia="仿宋_GB2312"/>
        </w:rPr>
        <w:t>详见附件：详细评审5-业绩.docx</w:t>
      </w:r>
    </w:p>
    <w:p>
      <w:pPr>
        <w:pStyle w:val="null3"/>
        <w:ind w:firstLine="960"/>
      </w:pPr>
      <w:r>
        <w:rPr>
          <w:rFonts w:ascii="仿宋_GB2312" w:hAnsi="仿宋_GB2312" w:cs="仿宋_GB2312" w:eastAsia="仿宋_GB2312"/>
        </w:rPr>
        <w:t>详见附件：详细评审6-增值服务.docx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