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版本号：HXCG-2025-HZ-12-0220251219002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西乡县2026年革命老区项目骆家坝镇市政街道改造提升工程(三期)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HXCG-2025-HZ-12-02</w:t>
      </w:r>
      <w:r>
        <w:br/>
      </w:r>
      <w:r>
        <w:br/>
      </w:r>
      <w:r>
        <w:br/>
      </w:r>
    </w:p>
    <w:p>
      <w:pPr>
        <w:pStyle w:val="null3"/>
        <w:jc w:val="center"/>
        <w:outlineLvl w:val="2"/>
      </w:pPr>
      <w:r>
        <w:rPr>
          <w:rFonts w:ascii="仿宋_GB2312" w:hAnsi="仿宋_GB2312" w:cs="仿宋_GB2312" w:eastAsia="仿宋_GB2312"/>
          <w:sz w:val="28"/>
          <w:b/>
        </w:rPr>
        <w:t>西乡县骆家坝镇人民政府</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西乡县骆家坝镇人民政府</w:t>
      </w:r>
      <w:r>
        <w:rPr>
          <w:rFonts w:ascii="仿宋_GB2312" w:hAnsi="仿宋_GB2312" w:cs="仿宋_GB2312" w:eastAsia="仿宋_GB2312"/>
        </w:rPr>
        <w:t>委托，拟对</w:t>
      </w:r>
      <w:r>
        <w:rPr>
          <w:rFonts w:ascii="仿宋_GB2312" w:hAnsi="仿宋_GB2312" w:cs="仿宋_GB2312" w:eastAsia="仿宋_GB2312"/>
        </w:rPr>
        <w:t>西乡县2026年革命老区项目骆家坝镇市政街道改造提升工程(三期)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HXCG-2025-HZ-12-02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西乡县2026年革命老区项目骆家坝镇市政街道改造提升工程(三期)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主要包括:骆家坝镇人行道改造、车行道的改造、绿化工程、米仓街道的改造、政府院子和派出所院子改造等工程内容，具体详见工程量清单描述。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采购包1（西乡县2026年革命老区项目骆家坝镇市政街道改造提升工程(三期)）：属于专门面向中小企业采购。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委托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3、供应商资格条件：供应商须具备建设行政主管部门核发的市政公用工程施工总承包三级及以上资质等级，并具有安全生产许可证且在有效期内；</w:t>
      </w:r>
    </w:p>
    <w:p>
      <w:pPr>
        <w:pStyle w:val="null3"/>
      </w:pPr>
      <w:r>
        <w:rPr>
          <w:rFonts w:ascii="仿宋_GB2312" w:hAnsi="仿宋_GB2312" w:cs="仿宋_GB2312" w:eastAsia="仿宋_GB2312"/>
        </w:rPr>
        <w:t>4、拟派项目负责人资格要求：拟派项目经理须具备市政公用工程专业注册建造师二级（含二级）以上执业资格，具有安全生产考核合格B证，在本单位注册且无在建工程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西乡县骆家坝镇人民政府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西乡县骆家坝镇骆镇新街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西乡县骆家坝镇人民政府经办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18700661241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18391667661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采购包1：2,117,768.57元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开户名称：横信项目管理有限公司汉中分公司</w:t>
            </w:r>
          </w:p>
          <w:p>
            <w:pPr>
              <w:pStyle w:val="null3"/>
            </w:pPr>
            <w:r>
              <w:rPr>
                <w:rFonts w:ascii="仿宋_GB2312" w:hAnsi="仿宋_GB2312" w:cs="仿宋_GB2312" w:eastAsia="仿宋_GB2312"/>
              </w:rPr>
              <w:t>开户银行：中国农业银行股份有限公司汉中东一环路支行</w:t>
            </w:r>
          </w:p>
          <w:p>
            <w:pPr>
              <w:pStyle w:val="null3"/>
            </w:pPr>
            <w:r>
              <w:rPr>
                <w:rFonts w:ascii="仿宋_GB2312" w:hAnsi="仿宋_GB2312" w:cs="仿宋_GB2312" w:eastAsia="仿宋_GB2312"/>
              </w:rPr>
              <w:t>银行账号：26650401040002274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西乡县骆家坝镇人民政府</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西乡县骆家坝镇人民政府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西乡县骆家坝镇人民政府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满足采购人工作需求及行业标准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联系电话：18391667661</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2,117,768.57</w:t>
      </w:r>
    </w:p>
    <w:p>
      <w:pPr>
        <w:pStyle w:val="null3"/>
      </w:pPr>
      <w:r>
        <w:rPr>
          <w:rFonts w:ascii="仿宋_GB2312" w:hAnsi="仿宋_GB2312" w:cs="仿宋_GB2312" w:eastAsia="仿宋_GB2312"/>
        </w:rPr>
        <w:t>采购包最高限价（元）: 2,117,768.57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西乡县2026年革命老区项目骆家坝镇市政街道改造提升工程(三期)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2,117,768.57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标的名称：西乡县2026年革命老区项目骆家坝镇市政街道改造提升工程(三期)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1.工期：60日历天</w:t>
            </w:r>
          </w:p>
          <w:p>
            <w:pPr>
              <w:pStyle w:val="null3"/>
            </w:pPr>
            <w:r>
              <w:rPr>
                <w:rFonts w:ascii="仿宋_GB2312" w:hAnsi="仿宋_GB2312" w:cs="仿宋_GB2312" w:eastAsia="仿宋_GB2312"/>
              </w:rPr>
              <w:t>2.质量目标：合格</w:t>
            </w:r>
          </w:p>
          <w:p>
            <w:pPr>
              <w:pStyle w:val="null3"/>
            </w:pPr>
            <w:r>
              <w:rPr>
                <w:rFonts w:ascii="仿宋_GB2312" w:hAnsi="仿宋_GB2312" w:cs="仿宋_GB2312" w:eastAsia="仿宋_GB2312"/>
              </w:rPr>
              <w:t>3.计价软件：广联达计价软件7.0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供应商资格条件</w:t>
            </w:r>
          </w:p>
        </w:tc>
        <w:tc>
          <w:tcPr>
            <w:tcW w:type="dxa" w:w="3322"/>
          </w:tcPr>
          <w:p>
            <w:pPr>
              <w:pStyle w:val="null3"/>
            </w:pPr>
            <w:r>
              <w:rPr>
                <w:rFonts w:ascii="仿宋_GB2312" w:hAnsi="仿宋_GB2312" w:cs="仿宋_GB2312" w:eastAsia="仿宋_GB2312"/>
              </w:rPr>
              <w:t>供应商须具备建设行政主管部门核发的市政公用工程施工总承包三级及以上资质等级，并具有安全生产许可证且在有效期内；</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拟派项目经理须具备市政公用工程专业注册建造师二级（含二级）以上执业资格，具有安全生产考核合格B证，在本单位注册且无在建工程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供应商认为需要说明的其他事宜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技术服务合同条款及其他商务要求应答表 标的清单 供应商应提交的相关资格证明材料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提供磋商保证金缴纳凭证</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①施工目标（成本目标、工期目标、质量目标）；②施工平面布置与安排。二、评审标准 1. 完整性：覆盖全部评审内容，描述详细；2. 可实施性：贴合集镇道路施工实际，步骤清晰；3. 针对性：紧扣 “新建 + 旧路改造” 特点，适配安置区交通疏导需求； 三、赋分标准 ①施工目标：每满足1项评审标准得1.5分，满分4.5分；②施工平面布置与安排：每满足 1 项评审标准得1.5 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 完整性：覆盖全部评审内容，有具体说明；2. 可实施性：措施具体，可落地执行；3. 针对性：针对水泥路面浇筑、沥青加铺等关键工序制定专项质量控制措施 三、赋分标准 ①质量管理目标：每满足 1 项评审标准得 1分，满分3分；②施工质量保障措施：每满足 1 项评审标准得1分，满分3分；③施工质量检验制度：每满足 1 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供应商编制完善的安全技术措施，内容包含：①安全管理制度；②安全责任归属划分；③安全标识（警戒标语、施工人员防护要求）；④安全教育培训 二、评审标准 1. 完整性：覆盖全部评审内容，描述详细；2. 可实施性：措施具体，责任明确；3. 针对性：贴合集镇施工人员密集、交通流量大的安全管理需求三、赋分标准①-④每项评审内容：每满足 1 项评审标准得 1 分，每项满分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供应商编制完善的文明施工措施，内容包含：①材料、半成品和机具的堆放管理；②文明施工检查措施二、评审标准 1. 完整性：覆盖全部评审内容，描述详细；2. 可实施性：措施具体，便于执行；3. 针对性：适配集镇环境，减少施工对居民生活的影响 三、赋分标准 ①-②每项评审内容：每满足1项评审标准得1分，每项满分3分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 完整性：覆盖全部评审内容，描述详细；2. 可实施性：措施具体，符合环保要求；3. 针对性：针对集镇道路施工噪音、扬尘污染制定专项控制方案。 三、赋分标准 ①-②每项评审内容：每满足1项评审标准得1分，每项满分3分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 完整性：覆盖全部评审内容，方法/措施详细；2. 可实施性：步骤清晰，技术成熟，适配本项目多类型市政改造工程特点；3. 针对性：紧扣本项目“多区域、多工序并行改造”的施工特点，保障各区域改造衔接顺畅 三、赋分标准 ①分部分项工程施工方法：每满足 1 项评审标准得 2 分，满分 6 分；②成品保护措施：每满足 1 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供应商针对本项目编制科学的项目管理机构，内容包含：①管理机构配备计划及管理人员证书（项目经理、技术负责人等关键岗位）；②组织机构岗位职责 二、评审标准 1. 完整性：覆盖全部评审内容，描述详细；2. 可实施性：人员配置合理，岗位职责明确；3. 针对性：适配本项目道路施工规模及技术要求。 三、赋分标准 ①管理机构配备计划：每满足 1 项评审标准得 1 分，满分 3 分；②组织机构岗位职责：每满足 1 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p>
            <w:pPr>
              <w:pStyle w:val="null3"/>
            </w:pPr>
            <w:r>
              <w:rPr>
                <w:rFonts w:ascii="仿宋_GB2312" w:hAnsi="仿宋_GB2312" w:cs="仿宋_GB2312" w:eastAsia="仿宋_GB2312"/>
              </w:rPr>
              <w:t>拟派项目团队人员配置表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 二、评审标准:1、完整性:方案必须全面，对评审内容中的各项要求有详细描述;2、可实施性:切合本项目实际情况，提出步骤清晰、合理的方案;3、针对性:方案能够紧扣项目实际情况，内容科学合理。 三、赋分标准①劳动力资源配置计划:每完全满足一个评审标准得1分，满分3分;②施工机械设备投入计划:每完全满足一个评审标准得1分，满分3分;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w:t>
            </w:r>
          </w:p>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近 3 年（2022 年 10 月至今）完成的类似项目，提供一个得2分，满分4分（市政道路新建或旧路改造或路面加铺等相关工程）①中标通知书；②施工合同；两者缺一不可，否则视为无效业绩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详见附件：供应商认为需要说明的其他事宜</w:t>
      </w:r>
    </w:p>
    <w:p>
      <w:pPr>
        <w:pStyle w:val="null3"/>
        <w:ind w:firstLine="960"/>
      </w:pPr>
      <w:r>
        <w:rPr>
          <w:rFonts w:ascii="仿宋_GB2312" w:hAnsi="仿宋_GB2312" w:cs="仿宋_GB2312" w:eastAsia="仿宋_GB2312"/>
        </w:rPr>
        <w:t>详见附件：技术部分方案</w:t>
      </w:r>
    </w:p>
    <w:p>
      <w:pPr>
        <w:pStyle w:val="null3"/>
        <w:ind w:firstLine="960"/>
      </w:pPr>
      <w:r>
        <w:rPr>
          <w:rFonts w:ascii="仿宋_GB2312" w:hAnsi="仿宋_GB2312" w:cs="仿宋_GB2312" w:eastAsia="仿宋_GB2312"/>
        </w:rPr>
        <w:t>详见附件：拟派项目团队人员配置表</w:t>
      </w:r>
    </w:p>
    <w:p>
      <w:pPr>
        <w:pStyle w:val="null3"/>
        <w:ind w:firstLine="960"/>
      </w:pPr>
      <w:r>
        <w:rPr>
          <w:rFonts w:ascii="仿宋_GB2312" w:hAnsi="仿宋_GB2312" w:cs="仿宋_GB2312" w:eastAsia="仿宋_GB2312"/>
        </w:rPr>
        <w:t>详见附件：提供磋商保证金缴纳凭证</w:t>
      </w:r>
    </w:p>
    <w:p>
      <w:pPr>
        <w:pStyle w:val="null3"/>
        <w:ind w:firstLine="960"/>
      </w:pPr>
      <w:r>
        <w:rPr>
          <w:rFonts w:ascii="仿宋_GB2312" w:hAnsi="仿宋_GB2312" w:cs="仿宋_GB2312" w:eastAsia="仿宋_GB2312"/>
        </w:rPr>
        <w:t>详见附件：业绩情况表</w:t>
      </w:r>
    </w:p>
    <w:p>
      <w:pPr>
        <w:pStyle w:val="null3"/>
        <w:ind w:firstLine="960"/>
      </w:pPr>
      <w:r>
        <w:rPr>
          <w:rFonts w:ascii="仿宋_GB2312" w:hAnsi="仿宋_GB2312" w:cs="仿宋_GB2312" w:eastAsia="仿宋_GB2312"/>
        </w:rPr>
        <w:t>详见附件：资源配置计划.docx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