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版本号：西采XC2025-44号20251219001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西大街校区智慧黑板、空调、教师办公家具采购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西采XC2025-44号</w:t>
      </w:r>
      <w:r>
        <w:br/>
      </w:r>
      <w:r>
        <w:br/>
      </w:r>
      <w:r>
        <w:br/>
      </w:r>
    </w:p>
    <w:p>
      <w:pPr>
        <w:pStyle w:val="null3"/>
        <w:jc w:val="center"/>
        <w:outlineLvl w:val="2"/>
      </w:pPr>
      <w:r>
        <w:rPr>
          <w:rFonts w:ascii="仿宋_GB2312" w:hAnsi="仿宋_GB2312" w:cs="仿宋_GB2312" w:eastAsia="仿宋_GB2312"/>
          <w:sz w:val="28"/>
          <w:b/>
        </w:rPr>
        <w:t>西乡县莲花小学</w:t>
      </w:r>
    </w:p>
    <w:p>
      <w:pPr>
        <w:pStyle w:val="null3"/>
        <w:jc w:val="center"/>
        <w:outlineLvl w:val="2"/>
      </w:pPr>
      <w:r>
        <w:rPr>
          <w:rFonts w:ascii="仿宋_GB2312" w:hAnsi="仿宋_GB2312" w:cs="仿宋_GB2312" w:eastAsia="仿宋_GB2312"/>
          <w:sz w:val="28"/>
          <w:b/>
        </w:rPr>
        <w:t>西乡县政府采购预算评审中心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西乡县政府采购预算评审中心</w:t>
      </w:r>
      <w:r>
        <w:rPr>
          <w:rFonts w:ascii="仿宋_GB2312" w:hAnsi="仿宋_GB2312" w:cs="仿宋_GB2312" w:eastAsia="仿宋_GB2312"/>
        </w:rPr>
        <w:t>（以下简称“代理机构”）受</w:t>
      </w:r>
      <w:r>
        <w:rPr>
          <w:rFonts w:ascii="仿宋_GB2312" w:hAnsi="仿宋_GB2312" w:cs="仿宋_GB2312" w:eastAsia="仿宋_GB2312"/>
        </w:rPr>
        <w:t>西乡县莲花小学</w:t>
      </w:r>
      <w:r>
        <w:rPr>
          <w:rFonts w:ascii="仿宋_GB2312" w:hAnsi="仿宋_GB2312" w:cs="仿宋_GB2312" w:eastAsia="仿宋_GB2312"/>
        </w:rPr>
        <w:t>委托，拟对</w:t>
      </w:r>
      <w:r>
        <w:rPr>
          <w:rFonts w:ascii="仿宋_GB2312" w:hAnsi="仿宋_GB2312" w:cs="仿宋_GB2312" w:eastAsia="仿宋_GB2312"/>
        </w:rPr>
        <w:t>西大街校区智慧黑板、空调、教师办公家具采购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西采XC2025-44号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西大街校区智慧黑板、空调、教师办公家具采购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采购智慧黑板12套、空调24台、教师办公桌椅41套、讲桌18套及档案柜10个。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采购包3（西大街校区教师办公家具采购包3）：属于专门面向中小企业采购。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西乡县莲花小学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西乡县莲花路北段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西乡县莲花小学经办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18091612573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西乡县政府采购预算评审中心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陕西省汉中市西乡县文昌路财政局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6229135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华小平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采购包1：322,800.00元</w:t>
            </w:r>
          </w:p>
          <w:p>
            <w:pPr>
              <w:pStyle w:val="null3"/>
            </w:pPr>
            <w:r>
              <w:rPr>
                <w:rFonts w:ascii="仿宋_GB2312" w:hAnsi="仿宋_GB2312" w:cs="仿宋_GB2312" w:eastAsia="仿宋_GB2312"/>
              </w:rPr>
              <w:t>采购包2：96,000.00元</w:t>
            </w:r>
          </w:p>
          <w:p>
            <w:pPr>
              <w:pStyle w:val="null3"/>
            </w:pPr>
            <w:r>
              <w:rPr>
                <w:rFonts w:ascii="仿宋_GB2312" w:hAnsi="仿宋_GB2312" w:cs="仿宋_GB2312" w:eastAsia="仿宋_GB2312"/>
              </w:rPr>
              <w:t>采购包3：75,460.00元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办公家具</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西乡县莲花小学</w:t>
      </w:r>
      <w:r>
        <w:rPr>
          <w:rFonts w:ascii="仿宋_GB2312" w:hAnsi="仿宋_GB2312" w:cs="仿宋_GB2312" w:eastAsia="仿宋_GB2312"/>
        </w:rPr>
        <w:t>和</w:t>
      </w:r>
      <w:r>
        <w:rPr>
          <w:rFonts w:ascii="仿宋_GB2312" w:hAnsi="仿宋_GB2312" w:cs="仿宋_GB2312" w:eastAsia="仿宋_GB2312"/>
        </w:rPr>
        <w:t>西乡县政府采购预算评审中心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西乡县莲花小学</w:t>
      </w:r>
      <w:r>
        <w:rPr>
          <w:rFonts w:ascii="仿宋_GB2312" w:hAnsi="仿宋_GB2312" w:cs="仿宋_GB2312" w:eastAsia="仿宋_GB2312"/>
        </w:rPr>
        <w:t>负责解释。除上述招标文件内容，其他内容由</w:t>
      </w:r>
      <w:r>
        <w:rPr>
          <w:rFonts w:ascii="仿宋_GB2312" w:hAnsi="仿宋_GB2312" w:cs="仿宋_GB2312" w:eastAsia="仿宋_GB2312"/>
        </w:rPr>
        <w:t>西乡县政府采购预算评审中心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西乡县莲花小学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西乡县政府采购预算评审中心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一、验收依据 1.采购合同及附件（含采购需求清单、技术参数约定）； 2.国家相关标准（《信息技术设备安全》）； 3.乙方提供的产品说明书、售后服务承诺函、资质认证文件。 二、技术履约验收标准 1.参数符合性：核心参数（屏幕尺寸、分辨率、触控点数、双系统版本等）100% 符合采购约定，专业设备检测无偏差； 2.功能完整性：显示、触控、系统切换、教学软件等功能全部正常，无缺失、报错，稳定性测试（24 小时连续运行）无故障； 3.质量达标：外观无破损、标识规范，安全认证齐全，无质量缺陷。 三、商务履约验收标准 1.交付履约：按合同约定时间、地点完成 12 台设备及配套附件交付，数量无短缺、型号无错发； 2.文档齐全：出厂合格证、3C 认证、检测报告、软件授权书、保修卡等资料完整有效，纸质版 + 电子版归档规范； 3.合规性：无知识产权侵权纠纷，发票开具符合合同约定，无违规收费或履约偏差。 四、服务履约验收标准 1.安装调试：安装牢固、线路规范，设备与教室内现有设施兼容联动正常，调试记录完整； 2.售后保障：售后服务热线、报修渠道畅通，响应时限符合约定（工作日 30 分钟内响应）。 五、验收合格判定 1.技术、商务、服务履约全部满足上述标准，无重大缺陷； 2.轻微偏差（如非核心附件包装破损）已在约定时限内整改完成； 3.验收小组出具《验收单》，双方签字盖章后视为履约验收通过。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完全符合以下标准： ①本次采购技术参数要求； ②国家《房间空气调节器》、《家用和类似用途空调器安装规范》等相关标准； ③合同约定的质量、服务、验收等条款； ④供应商提供的产品说明书及保修承诺。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①技术参数标准：完全符合本采购需求“核心技术参数要求”中载明的尺寸、结构、材质、功能等全部要求； ②国家标准：符合木家具、钢制家具、办公椅等对应品类的国家质量标准，环保指标符合GB 18580-2017（甲醛释放量≤0.124mg/m³）； ③合同约定标准：符合合同中关于供货数量、交货工期、安装质量、售后服务等全部约定； ④外观及性能标准：外观无瑕疵，结构稳固，部件功能正常，使用体验符合办公教学基本需求。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西乡县莲花小学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联系人：冯老师</w:t>
      </w:r>
    </w:p>
    <w:p>
      <w:pPr>
        <w:pStyle w:val="null3"/>
      </w:pPr>
      <w:r>
        <w:rPr>
          <w:rFonts w:ascii="仿宋_GB2312" w:hAnsi="仿宋_GB2312" w:cs="仿宋_GB2312" w:eastAsia="仿宋_GB2312"/>
        </w:rPr>
        <w:t>联系电话：18091612573</w:t>
      </w:r>
    </w:p>
    <w:p>
      <w:pPr>
        <w:pStyle w:val="null3"/>
      </w:pPr>
      <w:r>
        <w:rPr>
          <w:rFonts w:ascii="仿宋_GB2312" w:hAnsi="仿宋_GB2312" w:cs="仿宋_GB2312" w:eastAsia="仿宋_GB2312"/>
        </w:rPr>
        <w:t>地址：西乡县莲花路北段</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为保障西乡县莲花小学西大街校区新学期顺利开学，并满足教育教学实际需求及义务教育优质均衡创建要求，计划采购智慧黑板12套、空调24台、教师办公桌椅41套、讲桌18套及档案柜10个。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322,800.00</w:t>
      </w:r>
    </w:p>
    <w:p>
      <w:pPr>
        <w:pStyle w:val="null3"/>
      </w:pPr>
      <w:r>
        <w:rPr>
          <w:rFonts w:ascii="仿宋_GB2312" w:hAnsi="仿宋_GB2312" w:cs="仿宋_GB2312" w:eastAsia="仿宋_GB2312"/>
        </w:rPr>
        <w:t>采购包最高限价（元）: 322,800.00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322,800.00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96,000.00</w:t>
      </w:r>
    </w:p>
    <w:p>
      <w:pPr>
        <w:pStyle w:val="null3"/>
      </w:pPr>
      <w:r>
        <w:rPr>
          <w:rFonts w:ascii="仿宋_GB2312" w:hAnsi="仿宋_GB2312" w:cs="仿宋_GB2312" w:eastAsia="仿宋_GB2312"/>
        </w:rPr>
        <w:t>采购包最高限价（元）: 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2P空调</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75,460.00</w:t>
      </w:r>
    </w:p>
    <w:p>
      <w:pPr>
        <w:pStyle w:val="null3"/>
      </w:pPr>
      <w:r>
        <w:rPr>
          <w:rFonts w:ascii="仿宋_GB2312" w:hAnsi="仿宋_GB2312" w:cs="仿宋_GB2312" w:eastAsia="仿宋_GB2312"/>
        </w:rPr>
        <w:t>采购包最高限价（元）: 75,460.00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教室讲桌</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15,300.00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教师办公桌</w:t>
            </w:r>
          </w:p>
        </w:tc>
        <w:tc>
          <w:tcPr>
            <w:tcW w:type="dxa" w:w="831"/>
          </w:tcPr>
          <w:p>
            <w:pPr>
              <w:pStyle w:val="null3"/>
              <w:jc w:val="right"/>
            </w:pPr>
            <w:r>
              <w:rPr>
                <w:rFonts w:ascii="仿宋_GB2312" w:hAnsi="仿宋_GB2312" w:cs="仿宋_GB2312" w:eastAsia="仿宋_GB2312"/>
              </w:rPr>
              <w:t>41.00</w:t>
            </w:r>
          </w:p>
        </w:tc>
        <w:tc>
          <w:tcPr>
            <w:tcW w:type="dxa" w:w="831"/>
          </w:tcPr>
          <w:p>
            <w:pPr>
              <w:pStyle w:val="null3"/>
              <w:jc w:val="right"/>
            </w:pPr>
            <w:r>
              <w:rPr>
                <w:rFonts w:ascii="仿宋_GB2312" w:hAnsi="仿宋_GB2312" w:cs="仿宋_GB2312" w:eastAsia="仿宋_GB2312"/>
              </w:rPr>
              <w:t>31,980.00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教师办公椅</w:t>
            </w:r>
          </w:p>
        </w:tc>
        <w:tc>
          <w:tcPr>
            <w:tcW w:type="dxa" w:w="831"/>
          </w:tcPr>
          <w:p>
            <w:pPr>
              <w:pStyle w:val="null3"/>
              <w:jc w:val="right"/>
            </w:pPr>
            <w:r>
              <w:rPr>
                <w:rFonts w:ascii="仿宋_GB2312" w:hAnsi="仿宋_GB2312" w:cs="仿宋_GB2312" w:eastAsia="仿宋_GB2312"/>
              </w:rPr>
              <w:t>41.00</w:t>
            </w:r>
          </w:p>
        </w:tc>
        <w:tc>
          <w:tcPr>
            <w:tcW w:type="dxa" w:w="831"/>
          </w:tcPr>
          <w:p>
            <w:pPr>
              <w:pStyle w:val="null3"/>
              <w:jc w:val="right"/>
            </w:pPr>
            <w:r>
              <w:rPr>
                <w:rFonts w:ascii="仿宋_GB2312" w:hAnsi="仿宋_GB2312" w:cs="仿宋_GB2312" w:eastAsia="仿宋_GB2312"/>
              </w:rPr>
              <w:t>19,680.00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档案柜</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07"/>
              <w:gridCol w:w="2245"/>
            </w:tblGrid>
            <w:tr>
              <w:tc>
                <w:tcPr>
                  <w:tcW w:type="dxa" w:w="3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智慧黑板</w:t>
                  </w:r>
                </w:p>
              </w:tc>
              <w:tc>
                <w:tcPr>
                  <w:tcW w:type="dxa" w:w="224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31"/>
                      <w:color w:val="000000"/>
                    </w:rPr>
                    <w:t>一、整体设计</w:t>
                  </w:r>
                  <w:r>
                    <w:br/>
                  </w:r>
                  <w:r>
                    <w:rPr>
                      <w:rFonts w:ascii="仿宋_GB2312" w:hAnsi="仿宋_GB2312" w:cs="仿宋_GB2312" w:eastAsia="仿宋_GB2312"/>
                      <w:sz w:val="31"/>
                      <w:color w:val="000000"/>
                    </w:rPr>
                    <w:t xml:space="preserve"> 1. 整机采用全金属外壳，三拼接平面一体化设计，主屏外观尺寸≥86 英寸。</w:t>
                  </w:r>
                  <w:r>
                    <w:br/>
                  </w:r>
                  <w:r>
                    <w:rPr>
                      <w:rFonts w:ascii="仿宋_GB2312" w:hAnsi="仿宋_GB2312" w:cs="仿宋_GB2312" w:eastAsia="仿宋_GB2312"/>
                      <w:sz w:val="31"/>
                      <w:color w:val="000000"/>
                    </w:rPr>
                    <w:t xml:space="preserve"> 2.主屏支持普通粉笔直接书写，整机两侧副屏可支持以下媒介（普通粉笔、液体粉笔、成膜笔）进行板书书写。</w:t>
                  </w:r>
                  <w:r>
                    <w:br/>
                  </w:r>
                  <w:r>
                    <w:rPr>
                      <w:rFonts w:ascii="仿宋_GB2312" w:hAnsi="仿宋_GB2312" w:cs="仿宋_GB2312" w:eastAsia="仿宋_GB2312"/>
                      <w:sz w:val="31"/>
                      <w:color w:val="000000"/>
                    </w:rPr>
                    <w:t xml:space="preserve"> ▲3.整机安卓版本不小于 android 14。</w:t>
                  </w:r>
                  <w:r>
                    <w:br/>
                  </w:r>
                  <w:r>
                    <w:rPr>
                      <w:rFonts w:ascii="仿宋_GB2312" w:hAnsi="仿宋_GB2312" w:cs="仿宋_GB2312" w:eastAsia="仿宋_GB2312"/>
                      <w:sz w:val="31"/>
                      <w:color w:val="000000"/>
                    </w:rPr>
                    <w:t xml:space="preserve"> ▲4.整机采用防眩光玻璃，钢化玻璃表面硬度≥9H。</w:t>
                  </w:r>
                  <w:r>
                    <w:br/>
                  </w:r>
                  <w:r>
                    <w:rPr>
                      <w:rFonts w:ascii="仿宋_GB2312" w:hAnsi="仿宋_GB2312" w:cs="仿宋_GB2312" w:eastAsia="仿宋_GB2312"/>
                      <w:sz w:val="31"/>
                      <w:color w:val="000000"/>
                    </w:rPr>
                    <w:t xml:space="preserve"> ▲5.整机支持音效设置，可以调节左右声道平衡；在中低频段210Hz～1KHz，高频段 2KHz～15KHz 分别有-10dB～10dB 范围的调节功能。</w:t>
                  </w:r>
                  <w:r>
                    <w:br/>
                  </w:r>
                  <w:r>
                    <w:rPr>
                      <w:rFonts w:ascii="仿宋_GB2312" w:hAnsi="仿宋_GB2312" w:cs="仿宋_GB2312" w:eastAsia="仿宋_GB2312"/>
                      <w:sz w:val="31"/>
                      <w:color w:val="000000"/>
                    </w:rPr>
                    <w:t xml:space="preserve"> 6.支持标准、听力、观影和 AI 空间感知音效等模式，AI 空间感知音效模式可通过内置麦克风采集教室物理环境声音，自动生成符合当前教室物理环境的频段、音量、音效等。</w:t>
                  </w:r>
                  <w:r>
                    <w:br/>
                  </w:r>
                  <w:r>
                    <w:rPr>
                      <w:rFonts w:ascii="仿宋_GB2312" w:hAnsi="仿宋_GB2312" w:cs="仿宋_GB2312" w:eastAsia="仿宋_GB2312"/>
                      <w:sz w:val="31"/>
                      <w:color w:val="000000"/>
                    </w:rPr>
                    <w:t xml:space="preserve"> 7.整机内置扬声器。</w:t>
                  </w:r>
                  <w:r>
                    <w:br/>
                  </w:r>
                  <w:r>
                    <w:rPr>
                      <w:rFonts w:ascii="仿宋_GB2312" w:hAnsi="仿宋_GB2312" w:cs="仿宋_GB2312" w:eastAsia="仿宋_GB2312"/>
                      <w:sz w:val="31"/>
                      <w:color w:val="000000"/>
                    </w:rPr>
                    <w:t xml:space="preserve"> 8.满足不少于 20 点触控。</w:t>
                  </w:r>
                  <w:r>
                    <w:br/>
                  </w:r>
                  <w:r>
                    <w:rPr>
                      <w:rFonts w:ascii="仿宋_GB2312" w:hAnsi="仿宋_GB2312" w:cs="仿宋_GB2312" w:eastAsia="仿宋_GB2312"/>
                      <w:sz w:val="31"/>
                      <w:color w:val="000000"/>
                    </w:rPr>
                    <w:t xml:space="preserve"> ▲9.整机支持色彩空间可选，包含但不限于标准模式和 sRGB模式。</w:t>
                  </w:r>
                  <w:r>
                    <w:br/>
                  </w:r>
                  <w:r>
                    <w:rPr>
                      <w:rFonts w:ascii="仿宋_GB2312" w:hAnsi="仿宋_GB2312" w:cs="仿宋_GB2312" w:eastAsia="仿宋_GB2312"/>
                      <w:sz w:val="31"/>
                      <w:color w:val="000000"/>
                    </w:rPr>
                    <w:t xml:space="preserve"> ▲10.整机支持蓝牙 Bluetooth 5.4 或以上标准。</w:t>
                  </w:r>
                </w:p>
              </w:tc>
            </w:tr>
            <w:tr>
              <w:tc>
                <w:tcPr>
                  <w:tcW w:type="dxa" w:w="307"/>
                  <w:vMerge/>
                  <w:tcBorders>
                    <w:top w:val="single" w:color="000000" w:sz="4"/>
                    <w:left w:val="single" w:color="000000" w:sz="4"/>
                    <w:bottom w:val="single" w:color="000000" w:sz="4"/>
                    <w:right w:val="single" w:color="000000" w:sz="4"/>
                  </w:tcBorders>
                </w:tcPr>
                <w:p/>
              </w:tc>
              <w:tc>
                <w:tcPr>
                  <w:tcW w:type="dxa" w:w="224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31"/>
                      <w:color w:val="000000"/>
                    </w:rPr>
                    <w:t>二、接口及按键</w:t>
                  </w:r>
                  <w:r>
                    <w:br/>
                  </w:r>
                  <w:r>
                    <w:rPr>
                      <w:rFonts w:ascii="仿宋_GB2312" w:hAnsi="仿宋_GB2312" w:cs="仿宋_GB2312" w:eastAsia="仿宋_GB2312"/>
                      <w:sz w:val="31"/>
                      <w:color w:val="000000"/>
                    </w:rPr>
                    <w:t xml:space="preserve"> 1.整机具备前置按键，支持通过前置按键进行开关机等操作。</w:t>
                  </w:r>
                  <w:r>
                    <w:br/>
                  </w:r>
                  <w:r>
                    <w:rPr>
                      <w:rFonts w:ascii="仿宋_GB2312" w:hAnsi="仿宋_GB2312" w:cs="仿宋_GB2312" w:eastAsia="仿宋_GB2312"/>
                      <w:sz w:val="31"/>
                      <w:color w:val="000000"/>
                    </w:rPr>
                    <w:t xml:space="preserve"> ▲2.支持通过前置面板物理按键一键启动录屏功能，可将屏幕中显示的课件、音频内容与老师人声同时录制。</w:t>
                  </w:r>
                  <w:r>
                    <w:br/>
                  </w:r>
                  <w:r>
                    <w:rPr>
                      <w:rFonts w:ascii="仿宋_GB2312" w:hAnsi="仿宋_GB2312" w:cs="仿宋_GB2312" w:eastAsia="仿宋_GB2312"/>
                      <w:sz w:val="31"/>
                      <w:color w:val="000000"/>
                    </w:rPr>
                    <w:t xml:space="preserve"> 3.智能黑板具备多种纸质护眼模式。</w:t>
                  </w:r>
                  <w:r>
                    <w:br/>
                  </w:r>
                  <w:r>
                    <w:rPr>
                      <w:rFonts w:ascii="仿宋_GB2312" w:hAnsi="仿宋_GB2312" w:cs="仿宋_GB2312" w:eastAsia="仿宋_GB2312"/>
                      <w:sz w:val="31"/>
                      <w:color w:val="000000"/>
                    </w:rPr>
                    <w:t xml:space="preserve"> 4.整机支持提笔书写，可实现无需点击任意功能入口，当检测到触控笔接触屏幕时，自动进入书写模式。</w:t>
                  </w:r>
                </w:p>
              </w:tc>
            </w:tr>
            <w:tr>
              <w:tc>
                <w:tcPr>
                  <w:tcW w:type="dxa" w:w="307"/>
                  <w:vMerge/>
                  <w:tcBorders>
                    <w:top w:val="single" w:color="000000" w:sz="4"/>
                    <w:left w:val="single" w:color="000000" w:sz="4"/>
                    <w:bottom w:val="single" w:color="000000" w:sz="4"/>
                    <w:right w:val="single" w:color="000000" w:sz="4"/>
                  </w:tcBorders>
                </w:tcPr>
                <w:p/>
              </w:tc>
              <w:tc>
                <w:tcPr>
                  <w:tcW w:type="dxa" w:w="224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31"/>
                      <w:color w:val="000000"/>
                    </w:rPr>
                    <w:t>三、整机功能</w:t>
                  </w:r>
                  <w:r>
                    <w:br/>
                  </w:r>
                  <w:r>
                    <w:rPr>
                      <w:rFonts w:ascii="仿宋_GB2312" w:hAnsi="仿宋_GB2312" w:cs="仿宋_GB2312" w:eastAsia="仿宋_GB2312"/>
                      <w:sz w:val="31"/>
                      <w:color w:val="000000"/>
                    </w:rPr>
                    <w:t xml:space="preserve"> ★1.整机内置摄像头，摄像头数量≥1 个，可拍摄≥5000 万像素数的照片。</w:t>
                  </w:r>
                  <w:r>
                    <w:br/>
                  </w:r>
                  <w:r>
                    <w:rPr>
                      <w:rFonts w:ascii="仿宋_GB2312" w:hAnsi="仿宋_GB2312" w:cs="仿宋_GB2312" w:eastAsia="仿宋_GB2312"/>
                      <w:sz w:val="31"/>
                      <w:color w:val="000000"/>
                    </w:rPr>
                    <w:t xml:space="preserve"> 2.整机系统支持智能画质调节模式（AI-PQ），可根据屏幕内容自动调节画质参数，当屏幕出现人物、建筑等元素时，自动调整对比度、饱和度等。</w:t>
                  </w:r>
                  <w:r>
                    <w:br/>
                  </w:r>
                  <w:r>
                    <w:rPr>
                      <w:rFonts w:ascii="仿宋_GB2312" w:hAnsi="仿宋_GB2312" w:cs="仿宋_GB2312" w:eastAsia="仿宋_GB2312"/>
                      <w:sz w:val="31"/>
                      <w:color w:val="000000"/>
                    </w:rPr>
                    <w:t xml:space="preserve"> 3.触摸屏在照度≥100K LUX 环境下仍能正常工作。</w:t>
                  </w:r>
                  <w:r>
                    <w:br/>
                  </w:r>
                  <w:r>
                    <w:rPr>
                      <w:rFonts w:ascii="仿宋_GB2312" w:hAnsi="仿宋_GB2312" w:cs="仿宋_GB2312" w:eastAsia="仿宋_GB2312"/>
                      <w:sz w:val="31"/>
                      <w:color w:val="000000"/>
                    </w:rPr>
                    <w:t xml:space="preserve"> ★4.整机内置≥2TOPS算力，用于图像、音频等AI处理。</w:t>
                  </w:r>
                </w:p>
              </w:tc>
            </w:tr>
            <w:tr>
              <w:tc>
                <w:tcPr>
                  <w:tcW w:type="dxa" w:w="307"/>
                  <w:vMerge/>
                  <w:tcBorders>
                    <w:top w:val="single" w:color="000000" w:sz="4"/>
                    <w:left w:val="single" w:color="000000" w:sz="4"/>
                    <w:bottom w:val="single" w:color="000000" w:sz="4"/>
                    <w:right w:val="single" w:color="000000" w:sz="4"/>
                  </w:tcBorders>
                </w:tcPr>
                <w:p/>
              </w:tc>
              <w:tc>
                <w:tcPr>
                  <w:tcW w:type="dxa" w:w="224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32"/>
                      <w:color w:val="000000"/>
                    </w:rPr>
                    <w:t>四、内置 OPS：</w:t>
                  </w:r>
                  <w:r>
                    <w:br/>
                  </w:r>
                  <w:r>
                    <w:rPr>
                      <w:rFonts w:ascii="仿宋_GB2312" w:hAnsi="仿宋_GB2312" w:cs="仿宋_GB2312" w:eastAsia="仿宋_GB2312"/>
                      <w:sz w:val="32"/>
                      <w:color w:val="000000"/>
                    </w:rPr>
                    <w:t xml:space="preserve"> ▲1.采用抽拉内置式模块化电脑，可实现无单独接线的插拔。</w:t>
                  </w:r>
                  <w:r>
                    <w:br/>
                  </w:r>
                  <w:r>
                    <w:rPr>
                      <w:rFonts w:ascii="仿宋_GB2312" w:hAnsi="仿宋_GB2312" w:cs="仿宋_GB2312" w:eastAsia="仿宋_GB2312"/>
                      <w:sz w:val="32"/>
                      <w:color w:val="000000"/>
                    </w:rPr>
                    <w:t xml:space="preserve"> ★2.CPU采用国产自主可控芯片。</w:t>
                  </w:r>
                  <w:r>
                    <w:br/>
                  </w:r>
                  <w:r>
                    <w:rPr>
                      <w:rFonts w:ascii="仿宋_GB2312" w:hAnsi="仿宋_GB2312" w:cs="仿宋_GB2312" w:eastAsia="仿宋_GB2312"/>
                      <w:sz w:val="32"/>
                      <w:color w:val="000000"/>
                    </w:rPr>
                    <w:t>▲</w:t>
                  </w:r>
                  <w:r>
                    <w:rPr>
                      <w:rFonts w:ascii="仿宋_GB2312" w:hAnsi="仿宋_GB2312" w:cs="仿宋_GB2312" w:eastAsia="仿宋_GB2312"/>
                      <w:sz w:val="32"/>
                      <w:color w:val="000000"/>
                    </w:rPr>
                    <w:t>3.处理器核数≥8核，线程≥16；主频≥2.8GHz；内存：8GB DDR4 内存或以上配置；硬盘：256GB或以上SSD固态硬盘；≥2G独显。</w:t>
                  </w:r>
                  <w:r>
                    <w:br/>
                  </w:r>
                  <w:r>
                    <w:rPr>
                      <w:rFonts w:ascii="仿宋_GB2312" w:hAnsi="仿宋_GB2312" w:cs="仿宋_GB2312" w:eastAsia="仿宋_GB2312"/>
                      <w:sz w:val="32"/>
                      <w:color w:val="000000"/>
                    </w:rPr>
                    <w:t xml:space="preserve"> 4.具备不少于 4 路 USB 接口。</w:t>
                  </w:r>
                </w:p>
              </w:tc>
            </w:tr>
            <w:tr>
              <w:tc>
                <w:tcPr>
                  <w:tcW w:type="dxa" w:w="307"/>
                  <w:vMerge/>
                  <w:tcBorders>
                    <w:top w:val="single" w:color="000000" w:sz="4"/>
                    <w:left w:val="single" w:color="000000" w:sz="4"/>
                    <w:bottom w:val="single" w:color="000000" w:sz="4"/>
                    <w:right w:val="single" w:color="000000" w:sz="4"/>
                  </w:tcBorders>
                </w:tcPr>
                <w:p/>
              </w:tc>
              <w:tc>
                <w:tcPr>
                  <w:tcW w:type="dxa" w:w="224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五、白板软件：</w:t>
                  </w:r>
                  <w:r>
                    <w:br/>
                  </w:r>
                  <w:r>
                    <w:rPr>
                      <w:rFonts w:ascii="仿宋_GB2312" w:hAnsi="仿宋_GB2312" w:cs="仿宋_GB2312" w:eastAsia="仿宋_GB2312"/>
                      <w:sz w:val="28"/>
                      <w:color w:val="000000"/>
                    </w:rPr>
                    <w:t xml:space="preserve"> （一）主要功能</w:t>
                  </w:r>
                  <w:r>
                    <w:br/>
                  </w:r>
                  <w:r>
                    <w:rPr>
                      <w:rFonts w:ascii="仿宋_GB2312" w:hAnsi="仿宋_GB2312" w:cs="仿宋_GB2312" w:eastAsia="仿宋_GB2312"/>
                      <w:sz w:val="28"/>
                      <w:color w:val="000000"/>
                    </w:rPr>
                    <w:t xml:space="preserve"> 1.采用备授课一体化框架设计，教师可根据教学场景自由切换类PPT界面的备课模式与触控交互教学模式。</w:t>
                  </w:r>
                  <w:r>
                    <w:br/>
                  </w:r>
                  <w:r>
                    <w:rPr>
                      <w:rFonts w:ascii="仿宋_GB2312" w:hAnsi="仿宋_GB2312" w:cs="仿宋_GB2312" w:eastAsia="仿宋_GB2312"/>
                      <w:sz w:val="28"/>
                      <w:color w:val="000000"/>
                    </w:rPr>
                    <w:t xml:space="preserve"> ▲2.为全校教师提供可扩展，易于学校管理，安全可靠的云存储空间，根据每名教师使用时长与教学资料制作频率提供可扩展升级至不小于10TB的个人云空间。</w:t>
                  </w:r>
                  <w:r>
                    <w:br/>
                  </w:r>
                  <w:r>
                    <w:rPr>
                      <w:rFonts w:ascii="仿宋_GB2312" w:hAnsi="仿宋_GB2312" w:cs="仿宋_GB2312" w:eastAsia="仿宋_GB2312"/>
                      <w:sz w:val="28"/>
                      <w:color w:val="000000"/>
                    </w:rPr>
                    <w:t xml:space="preserve"> 3.为使用方全体教师配备个人账号，形成一体的信息化教学账号体系。</w:t>
                  </w:r>
                  <w:r>
                    <w:br/>
                  </w:r>
                  <w:r>
                    <w:rPr>
                      <w:rFonts w:ascii="仿宋_GB2312" w:hAnsi="仿宋_GB2312" w:cs="仿宋_GB2312" w:eastAsia="仿宋_GB2312"/>
                      <w:sz w:val="28"/>
                      <w:color w:val="000000"/>
                    </w:rPr>
                    <w:t xml:space="preserve"> 4.根据教师账号信息将教师云空间匹配至对应学校、学科校本资源库。</w:t>
                  </w:r>
                  <w:r>
                    <w:br/>
                  </w:r>
                  <w:r>
                    <w:rPr>
                      <w:rFonts w:ascii="仿宋_GB2312" w:hAnsi="仿宋_GB2312" w:cs="仿宋_GB2312" w:eastAsia="仿宋_GB2312"/>
                      <w:sz w:val="28"/>
                      <w:color w:val="000000"/>
                    </w:rPr>
                    <w:t xml:space="preserve"> ▲5.集体备课：支持在备课平台创建集体备课活动，老师可以针对课件、教案进行批注和研讨。主备人可多次修改稿件后上传，具备稿件版本对比功能。支持数据统计和访问记录查看。</w:t>
                  </w:r>
                  <w:r>
                    <w:br/>
                  </w:r>
                  <w:r>
                    <w:rPr>
                      <w:rFonts w:ascii="仿宋_GB2312" w:hAnsi="仿宋_GB2312" w:cs="仿宋_GB2312" w:eastAsia="仿宋_GB2312"/>
                      <w:sz w:val="28"/>
                      <w:color w:val="000000"/>
                    </w:rPr>
                    <w:t xml:space="preserve"> 6.音视频研讨：研讨发起人在研讨过程中支持在线发起多人音视频在线研讨，构建线上多现场同步研讨，研讨内容自动形成视频记录。</w:t>
                  </w:r>
                  <w:r>
                    <w:br/>
                  </w:r>
                  <w:r>
                    <w:rPr>
                      <w:rFonts w:ascii="仿宋_GB2312" w:hAnsi="仿宋_GB2312" w:cs="仿宋_GB2312" w:eastAsia="仿宋_GB2312"/>
                      <w:sz w:val="28"/>
                      <w:color w:val="000000"/>
                    </w:rPr>
                    <w:t xml:space="preserve"> 7.上传下载一体化云存储：备课时支持将云空间中存储图片、音频、视频、Flash等素材插入课件，同时支持将课件中的图片、音频、视频、Flash、PPT等素材右键上传至云空间。</w:t>
                  </w:r>
                  <w:r>
                    <w:br/>
                  </w:r>
                  <w:r>
                    <w:rPr>
                      <w:rFonts w:ascii="仿宋_GB2312" w:hAnsi="仿宋_GB2312" w:cs="仿宋_GB2312" w:eastAsia="仿宋_GB2312"/>
                      <w:sz w:val="28"/>
                      <w:color w:val="000000"/>
                    </w:rPr>
                    <w:t xml:space="preserve"> 8.接收方通过web链接或二维码的课件分享入口可预览互动课件内容并可触控课件互动元素。</w:t>
                  </w:r>
                  <w:r>
                    <w:br/>
                  </w:r>
                  <w:r>
                    <w:rPr>
                      <w:rFonts w:ascii="仿宋_GB2312" w:hAnsi="仿宋_GB2312" w:cs="仿宋_GB2312" w:eastAsia="仿宋_GB2312"/>
                      <w:sz w:val="28"/>
                      <w:color w:val="000000"/>
                    </w:rPr>
                    <w:t xml:space="preserve"> 9.支持PPT的原生解析，教师可将pptx课件转化为互动教学课件，支持单份导入和批量文件夹导入两种格式，保留pptx原文件中的文字、图片、表格等对象及动画的可编辑性，并可为课件增加互动教学元素。</w:t>
                  </w:r>
                  <w:r>
                    <w:br/>
                  </w:r>
                  <w:r>
                    <w:rPr>
                      <w:rFonts w:ascii="仿宋_GB2312" w:hAnsi="仿宋_GB2312" w:cs="仿宋_GB2312" w:eastAsia="仿宋_GB2312"/>
                      <w:sz w:val="28"/>
                      <w:color w:val="000000"/>
                    </w:rPr>
                    <w:t xml:space="preserve"> 10.支持将互动课件导出为pptx、pdf、H5或web链接，在多终端（包含windows、iOS、安卓、国产操作系统等）可再次编辑。</w:t>
                  </w:r>
                  <w:r>
                    <w:br/>
                  </w:r>
                  <w:r>
                    <w:rPr>
                      <w:rFonts w:ascii="仿宋_GB2312" w:hAnsi="仿宋_GB2312" w:cs="仿宋_GB2312" w:eastAsia="仿宋_GB2312"/>
                      <w:sz w:val="28"/>
                      <w:color w:val="000000"/>
                    </w:rPr>
                    <w:t xml:space="preserve"> 11.可自由调节课件画面的显示比例，支持16:9、4：3画面显示比。</w:t>
                  </w:r>
                  <w:r>
                    <w:br/>
                  </w:r>
                  <w:r>
                    <w:rPr>
                      <w:rFonts w:ascii="仿宋_GB2312" w:hAnsi="仿宋_GB2312" w:cs="仿宋_GB2312" w:eastAsia="仿宋_GB2312"/>
                      <w:sz w:val="28"/>
                      <w:color w:val="000000"/>
                    </w:rPr>
                    <w:t xml:space="preserve"> 12.内置微课工具，支持快速录制微课，微课可录制保存音频和课件的互动操作，支持云端课件录制、本地文件录制等多种模式。</w:t>
                  </w:r>
                  <w:r>
                    <w:br/>
                  </w:r>
                  <w:r>
                    <w:rPr>
                      <w:rFonts w:ascii="仿宋_GB2312" w:hAnsi="仿宋_GB2312" w:cs="仿宋_GB2312" w:eastAsia="仿宋_GB2312"/>
                      <w:sz w:val="28"/>
                      <w:color w:val="000000"/>
                    </w:rPr>
                    <w:t xml:space="preserve"> 13.无课件录制：支持教师在空白页面录制微课，支持自主添加不低于一百页电子草稿进行讲解。</w:t>
                  </w:r>
                  <w:r>
                    <w:br/>
                  </w:r>
                  <w:r>
                    <w:rPr>
                      <w:rFonts w:ascii="仿宋_GB2312" w:hAnsi="仿宋_GB2312" w:cs="仿宋_GB2312" w:eastAsia="仿宋_GB2312"/>
                      <w:sz w:val="28"/>
                      <w:color w:val="000000"/>
                    </w:rPr>
                    <w:t xml:space="preserve"> 14.全文快速搜索：支持在课件中通过快捷键调用搜索控件，输入文本即可查找课件内文本框、形状、表格中对应的文本匹配项。</w:t>
                  </w:r>
                  <w:r>
                    <w:br/>
                  </w:r>
                  <w:r>
                    <w:rPr>
                      <w:rFonts w:ascii="仿宋_GB2312" w:hAnsi="仿宋_GB2312" w:cs="仿宋_GB2312" w:eastAsia="仿宋_GB2312"/>
                      <w:sz w:val="28"/>
                      <w:color w:val="000000"/>
                    </w:rPr>
                    <w:t xml:space="preserve"> 15.支持通过实时音视频将课堂教学现场进行实况直播，实现异地听课、评课，直播听评课结束后生成直播回放。</w:t>
                  </w:r>
                </w:p>
              </w:tc>
            </w:tr>
            <w:tr>
              <w:tc>
                <w:tcPr>
                  <w:tcW w:type="dxa" w:w="307"/>
                  <w:vMerge/>
                  <w:tcBorders>
                    <w:top w:val="single" w:color="000000" w:sz="4"/>
                    <w:left w:val="single" w:color="000000" w:sz="4"/>
                    <w:bottom w:val="single" w:color="000000" w:sz="4"/>
                    <w:right w:val="single" w:color="000000" w:sz="4"/>
                  </w:tcBorders>
                </w:tcPr>
                <w:p/>
              </w:tc>
              <w:tc>
                <w:tcPr>
                  <w:tcW w:type="dxa" w:w="224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31"/>
                      <w:color w:val="000000"/>
                    </w:rPr>
                    <w:t>（二）学科工具</w:t>
                  </w:r>
                  <w:r>
                    <w:br/>
                  </w:r>
                  <w:r>
                    <w:rPr>
                      <w:rFonts w:ascii="仿宋_GB2312" w:hAnsi="仿宋_GB2312" w:cs="仿宋_GB2312" w:eastAsia="仿宋_GB2312"/>
                      <w:sz w:val="31"/>
                      <w:color w:val="000000"/>
                    </w:rPr>
                    <w:t xml:space="preserve"> 16.AI智能纠错：软件内置的AI智能语义分析模块，可对输入的英文文本的拼写、句型、语法进行错误检查，并支持一键纠错。</w:t>
                  </w:r>
                  <w:r>
                    <w:br/>
                  </w:r>
                  <w:r>
                    <w:rPr>
                      <w:rFonts w:ascii="仿宋_GB2312" w:hAnsi="仿宋_GB2312" w:cs="仿宋_GB2312" w:eastAsia="仿宋_GB2312"/>
                      <w:sz w:val="31"/>
                      <w:color w:val="000000"/>
                    </w:rPr>
                    <w:t xml:space="preserve"> 17.配置英语学科听写工具，覆盖不少于5000个英语单词，支持自定义选择单词。自定义听写频率和次数，一键生成听写卡；授课模式支持一键开启听写朗读。</w:t>
                  </w:r>
                  <w:r>
                    <w:br/>
                  </w:r>
                  <w:r>
                    <w:rPr>
                      <w:rFonts w:ascii="仿宋_GB2312" w:hAnsi="仿宋_GB2312" w:cs="仿宋_GB2312" w:eastAsia="仿宋_GB2312"/>
                      <w:sz w:val="31"/>
                      <w:color w:val="000000"/>
                    </w:rPr>
                    <w:t xml:space="preserve"> 18.提供古诗词、古文教学资源：包含原文、翻译、背景介绍、作者介绍、朗诵音频。内嵌诗词百科链接，一键跳转展示诗词及作者详细背景介绍；全部古诗词资源按照年级学段、朝代、诗人进行精细分类，支持教师直接搜索诗词、古文名称或作者名称进行查找，提供原文朗读功能，备课时可对朗读音频打点定位，授课播放时可直接播放选择好的片段。</w:t>
                  </w:r>
                  <w:r>
                    <w:br/>
                  </w:r>
                  <w:r>
                    <w:rPr>
                      <w:rFonts w:ascii="仿宋_GB2312" w:hAnsi="仿宋_GB2312" w:cs="仿宋_GB2312" w:eastAsia="仿宋_GB2312"/>
                      <w:sz w:val="31"/>
                      <w:color w:val="000000"/>
                    </w:rPr>
                    <w:t xml:space="preserve"> 19.物理线图：支持自由绘制物理线图，提供元件库和模板库不少于30个组件，支持自动吸附连接线，画布可无限漫游。绘制后的线图可一键插入到备课课件中并支持二次编辑。老师可将常用的线图保存至个人云盘方便二次调用。</w:t>
                  </w:r>
                  <w:r>
                    <w:br/>
                  </w:r>
                  <w:r>
                    <w:rPr>
                      <w:rFonts w:ascii="仿宋_GB2312" w:hAnsi="仿宋_GB2312" w:cs="仿宋_GB2312" w:eastAsia="仿宋_GB2312"/>
                      <w:sz w:val="31"/>
                      <w:color w:val="000000"/>
                    </w:rPr>
                    <w:t xml:space="preserve"> 20.内置专用美术画板工具，提供铅笔、毛笔、油画笔等笔触，具备符合绘画调色教学需求的模拟调色盘，可选择不同颜色混合调色，便于学生理解调色合成过程。</w:t>
                  </w:r>
                  <w:r>
                    <w:br/>
                  </w:r>
                  <w:r>
                    <w:rPr>
                      <w:rFonts w:ascii="仿宋_GB2312" w:hAnsi="仿宋_GB2312" w:cs="仿宋_GB2312" w:eastAsia="仿宋_GB2312"/>
                      <w:sz w:val="31"/>
                      <w:color w:val="000000"/>
                    </w:rPr>
                    <w:t xml:space="preserve"> 21.支持创建数学画板，具有点、线、面基础元素和数学常用工具。创建完成后，可一键将画板插入白板。</w:t>
                  </w:r>
                  <w:r>
                    <w:br/>
                  </w:r>
                  <w:r>
                    <w:rPr>
                      <w:rFonts w:ascii="仿宋_GB2312" w:hAnsi="仿宋_GB2312" w:cs="仿宋_GB2312" w:eastAsia="仿宋_GB2312"/>
                      <w:sz w:val="31"/>
                      <w:color w:val="000000"/>
                    </w:rPr>
                    <w:t xml:space="preserve"> 22.多学科课件库：提供涵盖语文、数学、英语等学科全部教学章节的不少于10万份的交互式课件。课件支持直接预览并下载，预览时支持拖动课堂活动、形状、几何、文本等元素；下载时课件可同步至教师个人云课件存储空间；课件支持教师在线评分。</w:t>
                  </w:r>
                </w:p>
              </w:tc>
            </w:tr>
            <w:tr>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展台</w:t>
                  </w:r>
                </w:p>
              </w:tc>
              <w:tc>
                <w:tcPr>
                  <w:tcW w:type="dxa" w:w="224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31"/>
                      <w:color w:val="000000"/>
                    </w:rPr>
                    <w:t>六、智慧黑板展台（硬件）</w:t>
                  </w:r>
                  <w:r>
                    <w:br/>
                  </w:r>
                  <w:r>
                    <w:rPr>
                      <w:rFonts w:ascii="仿宋_GB2312" w:hAnsi="仿宋_GB2312" w:cs="仿宋_GB2312" w:eastAsia="仿宋_GB2312"/>
                      <w:sz w:val="31"/>
                      <w:color w:val="000000"/>
                    </w:rPr>
                    <w:t xml:space="preserve"> 1.设备≥800万像素摄像头；采用 USB供电</w:t>
                  </w:r>
                  <w:r>
                    <w:br/>
                  </w:r>
                  <w:r>
                    <w:rPr>
                      <w:rFonts w:ascii="仿宋_GB2312" w:hAnsi="仿宋_GB2312" w:cs="仿宋_GB2312" w:eastAsia="仿宋_GB2312"/>
                      <w:sz w:val="31"/>
                      <w:color w:val="000000"/>
                    </w:rPr>
                    <w:t xml:space="preserve"> 2.支持不小于A4大小拍摄幅面，1080P动态视频预览达到30帧/秒。</w:t>
                  </w:r>
                  <w:r>
                    <w:br/>
                  </w:r>
                  <w:r>
                    <w:rPr>
                      <w:rFonts w:ascii="仿宋_GB2312" w:hAnsi="仿宋_GB2312" w:cs="仿宋_GB2312" w:eastAsia="仿宋_GB2312"/>
                      <w:sz w:val="31"/>
                      <w:color w:val="000000"/>
                    </w:rPr>
                    <w:t xml:space="preserve"> 3.支持展台成像画面实时批注，预设多种笔划供选择。</w:t>
                  </w:r>
                  <w:r>
                    <w:br/>
                  </w:r>
                  <w:r>
                    <w:rPr>
                      <w:rFonts w:ascii="仿宋_GB2312" w:hAnsi="仿宋_GB2312" w:cs="仿宋_GB2312" w:eastAsia="仿宋_GB2312"/>
                      <w:sz w:val="31"/>
                      <w:color w:val="000000"/>
                    </w:rPr>
                    <w:t xml:space="preserve"> 4.具有故障自动检测功能，可自动出现检测链接。</w:t>
                  </w:r>
                  <w:r>
                    <w:br/>
                  </w:r>
                  <w:r>
                    <w:rPr>
                      <w:rFonts w:ascii="仿宋_GB2312" w:hAnsi="仿宋_GB2312" w:cs="仿宋_GB2312" w:eastAsia="仿宋_GB2312"/>
                      <w:sz w:val="31"/>
                      <w:color w:val="000000"/>
                    </w:rPr>
                    <w:t xml:space="preserve"> 5.展示托板正上方具备LED补光灯，适应环境变化。</w:t>
                  </w:r>
                  <w:r>
                    <w:br/>
                  </w:r>
                  <w:r>
                    <w:rPr>
                      <w:rFonts w:ascii="仿宋_GB2312" w:hAnsi="仿宋_GB2312" w:cs="仿宋_GB2312" w:eastAsia="仿宋_GB2312"/>
                      <w:sz w:val="31"/>
                      <w:color w:val="000000"/>
                    </w:rPr>
                    <w:t xml:space="preserve"> 6.外壳在摄像头部分带保护镜片密封，防止灰尘沾染摄像头。</w:t>
                  </w:r>
                </w:p>
              </w:tc>
            </w:tr>
            <w:tr>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智能笔</w:t>
                  </w:r>
                </w:p>
              </w:tc>
              <w:tc>
                <w:tcPr>
                  <w:tcW w:type="dxa" w:w="224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31"/>
                      <w:color w:val="000000"/>
                    </w:rPr>
                    <w:t>七、智能黑板触控笔（硬件）</w:t>
                  </w:r>
                  <w:r>
                    <w:br/>
                  </w:r>
                  <w:r>
                    <w:rPr>
                      <w:rFonts w:ascii="仿宋_GB2312" w:hAnsi="仿宋_GB2312" w:cs="仿宋_GB2312" w:eastAsia="仿宋_GB2312"/>
                      <w:sz w:val="31"/>
                      <w:color w:val="000000"/>
                    </w:rPr>
                    <w:t xml:space="preserve"> 1.笔身造型采用圆润一体化笔型设计，表面采用手感漆工艺便于握持；笔身长度≤17cm,笔身直径≤13mm，笔身重量≤18g。</w:t>
                  </w:r>
                  <w:r>
                    <w:br/>
                  </w:r>
                  <w:r>
                    <w:rPr>
                      <w:rFonts w:ascii="仿宋_GB2312" w:hAnsi="仿宋_GB2312" w:cs="仿宋_GB2312" w:eastAsia="仿宋_GB2312"/>
                      <w:sz w:val="31"/>
                      <w:color w:val="000000"/>
                    </w:rPr>
                    <w:t xml:space="preserve"> 2.笔身配置不少于五个按键，具备上下翻页，智能语音，远程聚光灯/放大，书写颜色切换，兼顾触摸书写以及远程操控的握持姿态；</w:t>
                  </w:r>
                  <w:r>
                    <w:br/>
                  </w:r>
                  <w:r>
                    <w:rPr>
                      <w:rFonts w:ascii="仿宋_GB2312" w:hAnsi="仿宋_GB2312" w:cs="仿宋_GB2312" w:eastAsia="仿宋_GB2312"/>
                      <w:sz w:val="31"/>
                      <w:color w:val="000000"/>
                    </w:rPr>
                    <w:t xml:space="preserve"> 3.采用锥型笔尖设计，直径≤3mm；同时支持电容，红外触控设备书写，书写最小精度2mm；</w:t>
                  </w:r>
                  <w:r>
                    <w:br/>
                  </w:r>
                  <w:r>
                    <w:rPr>
                      <w:rFonts w:ascii="仿宋_GB2312" w:hAnsi="仿宋_GB2312" w:cs="仿宋_GB2312" w:eastAsia="仿宋_GB2312"/>
                      <w:sz w:val="31"/>
                      <w:color w:val="000000"/>
                    </w:rPr>
                    <w:t xml:space="preserve"> 4.连续书写距离不小于7km；</w:t>
                  </w:r>
                  <w:r>
                    <w:br/>
                  </w:r>
                  <w:r>
                    <w:rPr>
                      <w:rFonts w:ascii="仿宋_GB2312" w:hAnsi="仿宋_GB2312" w:cs="仿宋_GB2312" w:eastAsia="仿宋_GB2312"/>
                      <w:sz w:val="31"/>
                      <w:color w:val="000000"/>
                    </w:rPr>
                    <w:t xml:space="preserve"> 5.短按上下翻页按键，可实现白板软件/ppt/pdf等文档上下翻页；长按上下翻页按键3s，可实现ppt播放/退出；</w:t>
                  </w:r>
                  <w:r>
                    <w:br/>
                  </w:r>
                  <w:r>
                    <w:rPr>
                      <w:rFonts w:ascii="仿宋_GB2312" w:hAnsi="仿宋_GB2312" w:cs="仿宋_GB2312" w:eastAsia="仿宋_GB2312"/>
                      <w:sz w:val="31"/>
                      <w:color w:val="000000"/>
                    </w:rPr>
                    <w:t xml:space="preserve"> 6.多功能按键：</w:t>
                  </w:r>
                  <w:r>
                    <w:br/>
                  </w:r>
                  <w:r>
                    <w:rPr>
                      <w:rFonts w:ascii="仿宋_GB2312" w:hAnsi="仿宋_GB2312" w:cs="仿宋_GB2312" w:eastAsia="仿宋_GB2312"/>
                      <w:sz w:val="31"/>
                      <w:color w:val="000000"/>
                    </w:rPr>
                    <w:t xml:space="preserve"> a.短按多功能按键，可实现播放/暂停音视频或flash；</w:t>
                  </w:r>
                  <w:r>
                    <w:br/>
                  </w:r>
                  <w:r>
                    <w:rPr>
                      <w:rFonts w:ascii="仿宋_GB2312" w:hAnsi="仿宋_GB2312" w:cs="仿宋_GB2312" w:eastAsia="仿宋_GB2312"/>
                      <w:sz w:val="31"/>
                      <w:color w:val="000000"/>
                    </w:rPr>
                    <w:t xml:space="preserve"> b.双击此按键，可实现空鼠/放大镜/聚光灯等功能切换，切换顺序空鼠&gt;放大镜&gt;聚光灯；</w:t>
                  </w:r>
                  <w:r>
                    <w:br/>
                  </w:r>
                  <w:r>
                    <w:rPr>
                      <w:rFonts w:ascii="仿宋_GB2312" w:hAnsi="仿宋_GB2312" w:cs="仿宋_GB2312" w:eastAsia="仿宋_GB2312"/>
                      <w:sz w:val="31"/>
                      <w:color w:val="000000"/>
                    </w:rPr>
                    <w:t xml:space="preserve"> c.长按此按键即可实现对应功能(空鼠/放大镜/聚光灯)；</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标的名称：2P空调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1.要求电压：220V</w:t>
            </w:r>
            <w:r>
              <w:br/>
            </w:r>
            <w:r>
              <w:rPr>
                <w:rFonts w:ascii="仿宋_GB2312" w:hAnsi="仿宋_GB2312" w:cs="仿宋_GB2312" w:eastAsia="仿宋_GB2312"/>
              </w:rPr>
              <w:t xml:space="preserve"> 2.电源频率：50HZ</w:t>
            </w:r>
            <w:r>
              <w:br/>
            </w:r>
            <w:r>
              <w:rPr>
                <w:rFonts w:ascii="仿宋_GB2312" w:hAnsi="仿宋_GB2312" w:cs="仿宋_GB2312" w:eastAsia="仿宋_GB2312"/>
              </w:rPr>
              <w:t xml:space="preserve"> 3.外机机身尺寸（单位：MM）：长：（855-860含阀体），宽：(325-330)，  高：（550-558）</w:t>
            </w:r>
            <w:r>
              <w:br/>
            </w:r>
            <w:r>
              <w:rPr>
                <w:rFonts w:ascii="仿宋_GB2312" w:hAnsi="仿宋_GB2312" w:cs="仿宋_GB2312" w:eastAsia="仿宋_GB2312"/>
              </w:rPr>
              <w:t xml:space="preserve"> 4.内机机身尺寸（单位：MM）：长：（915-920） ，宽：（195-200）， 高：（315-320）</w:t>
            </w:r>
            <w:r>
              <w:br/>
            </w:r>
            <w:r>
              <w:rPr>
                <w:rFonts w:ascii="仿宋_GB2312" w:hAnsi="仿宋_GB2312" w:cs="仿宋_GB2312" w:eastAsia="仿宋_GB2312"/>
              </w:rPr>
              <w:t xml:space="preserve"> 5.制冷功率（W）：≥1220(1220-1250)</w:t>
            </w:r>
            <w:r>
              <w:br/>
            </w:r>
            <w:r>
              <w:rPr>
                <w:rFonts w:ascii="仿宋_GB2312" w:hAnsi="仿宋_GB2312" w:cs="仿宋_GB2312" w:eastAsia="仿宋_GB2312"/>
              </w:rPr>
              <w:t xml:space="preserve"> 6.制热功率(W)：≥1690(1690-1750)</w:t>
            </w:r>
            <w:r>
              <w:br/>
            </w:r>
            <w:r>
              <w:rPr>
                <w:rFonts w:ascii="仿宋_GB2312" w:hAnsi="仿宋_GB2312" w:cs="仿宋_GB2312" w:eastAsia="仿宋_GB2312"/>
              </w:rPr>
              <w:t xml:space="preserve"> 7.空调匹数：2匹</w:t>
            </w:r>
            <w:r>
              <w:br/>
            </w:r>
            <w:r>
              <w:rPr>
                <w:rFonts w:ascii="仿宋_GB2312" w:hAnsi="仿宋_GB2312" w:cs="仿宋_GB2312" w:eastAsia="仿宋_GB2312"/>
              </w:rPr>
              <w:t xml:space="preserve"> 8.能效比要求（APF）：≥4.74</w:t>
            </w:r>
            <w:r>
              <w:br/>
            </w:r>
            <w:r>
              <w:rPr>
                <w:rFonts w:ascii="仿宋_GB2312" w:hAnsi="仿宋_GB2312" w:cs="仿宋_GB2312" w:eastAsia="仿宋_GB2312"/>
              </w:rPr>
              <w:t xml:space="preserve"> 9.循环风量：（m3/h）：≥890</w:t>
            </w:r>
            <w:r>
              <w:br/>
            </w:r>
            <w:r>
              <w:rPr>
                <w:rFonts w:ascii="仿宋_GB2312" w:hAnsi="仿宋_GB2312" w:cs="仿宋_GB2312" w:eastAsia="仿宋_GB2312"/>
              </w:rPr>
              <w:t xml:space="preserve"> 10.是否带电辅热：是</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1.能效等级：一级能效</w:t>
            </w:r>
          </w:p>
          <w:p>
            <w:pPr>
              <w:pStyle w:val="null3"/>
            </w:pPr>
            <w:r>
              <w:rPr>
                <w:rFonts w:ascii="仿宋_GB2312" w:hAnsi="仿宋_GB2312" w:cs="仿宋_GB2312" w:eastAsia="仿宋_GB2312"/>
              </w:rPr>
              <w:t>2.变频/定频：变频</w:t>
            </w:r>
          </w:p>
          <w:p>
            <w:pPr>
              <w:pStyle w:val="null3"/>
            </w:pPr>
            <w:r>
              <w:rPr>
                <w:rFonts w:ascii="仿宋_GB2312" w:hAnsi="仿宋_GB2312" w:cs="仿宋_GB2312" w:eastAsia="仿宋_GB2312"/>
              </w:rPr>
              <w:t>3.室内机噪音要求（dB）：低风挡：≤19，高风挡：≤43</w:t>
            </w:r>
          </w:p>
          <w:p>
            <w:pPr>
              <w:pStyle w:val="null3"/>
            </w:pPr>
            <w:r>
              <w:rPr>
                <w:rFonts w:ascii="仿宋_GB2312" w:hAnsi="仿宋_GB2312" w:cs="仿宋_GB2312" w:eastAsia="仿宋_GB2312"/>
              </w:rPr>
              <w:t>4.室外机噪音要求（dB）：低风挡：≤39，高风挡：≤54</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标的名称：教室讲桌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1.尺寸：长800mm(±20mm)*宽600mm</w:t>
            </w:r>
            <w:r>
              <w:rPr>
                <w:rFonts w:ascii="仿宋_GB2312" w:hAnsi="仿宋_GB2312" w:cs="仿宋_GB2312" w:eastAsia="仿宋_GB2312"/>
                <w:sz w:val="18"/>
              </w:rPr>
              <w:t>(±20mm)</w:t>
            </w:r>
            <w:r>
              <w:rPr>
                <w:rFonts w:ascii="仿宋_GB2312" w:hAnsi="仿宋_GB2312" w:cs="仿宋_GB2312" w:eastAsia="仿宋_GB2312"/>
                <w:sz w:val="18"/>
              </w:rPr>
              <w:t>*高940mm</w:t>
            </w:r>
            <w:r>
              <w:rPr>
                <w:rFonts w:ascii="仿宋_GB2312" w:hAnsi="仿宋_GB2312" w:cs="仿宋_GB2312" w:eastAsia="仿宋_GB2312"/>
                <w:sz w:val="18"/>
              </w:rPr>
              <w:t>(±20mm)</w:t>
            </w:r>
            <w:r>
              <w:br/>
            </w:r>
            <w:r>
              <w:rPr>
                <w:rFonts w:ascii="仿宋_GB2312" w:hAnsi="仿宋_GB2312" w:cs="仿宋_GB2312" w:eastAsia="仿宋_GB2312"/>
                <w:sz w:val="18"/>
              </w:rPr>
              <w:t xml:space="preserve"> 2.立式讲台</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提供板材的检测报告：检测报告上有CMA和CNAS标识。</w:t>
            </w:r>
          </w:p>
        </w:tc>
      </w:tr>
    </w:tbl>
    <w:p>
      <w:pPr>
        <w:pStyle w:val="null3"/>
      </w:pPr>
      <w:r>
        <w:rPr>
          <w:rFonts w:ascii="仿宋_GB2312" w:hAnsi="仿宋_GB2312" w:cs="仿宋_GB2312" w:eastAsia="仿宋_GB2312"/>
        </w:rPr>
        <w:t>标的名称：教师办公桌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1.结构： （1.2m</w:t>
            </w:r>
            <w:r>
              <w:rPr>
                <w:rFonts w:ascii="仿宋_GB2312" w:hAnsi="仿宋_GB2312" w:cs="仿宋_GB2312" w:eastAsia="仿宋_GB2312"/>
                <w:sz w:val="18"/>
              </w:rPr>
              <w:t>(±20mm)</w:t>
            </w:r>
            <w:r>
              <w:rPr>
                <w:rFonts w:ascii="仿宋_GB2312" w:hAnsi="仿宋_GB2312" w:cs="仿宋_GB2312" w:eastAsia="仿宋_GB2312"/>
                <w:sz w:val="18"/>
              </w:rPr>
              <w:t>×0.6m</w:t>
            </w:r>
            <w:r>
              <w:rPr>
                <w:rFonts w:ascii="仿宋_GB2312" w:hAnsi="仿宋_GB2312" w:cs="仿宋_GB2312" w:eastAsia="仿宋_GB2312"/>
                <w:sz w:val="18"/>
              </w:rPr>
              <w:t>(±20mm)</w:t>
            </w:r>
            <w:r>
              <w:rPr>
                <w:rFonts w:ascii="仿宋_GB2312" w:hAnsi="仿宋_GB2312" w:cs="仿宋_GB2312" w:eastAsia="仿宋_GB2312"/>
                <w:sz w:val="18"/>
              </w:rPr>
              <w:t>×0.75m</w:t>
            </w:r>
            <w:r>
              <w:rPr>
                <w:rFonts w:ascii="仿宋_GB2312" w:hAnsi="仿宋_GB2312" w:cs="仿宋_GB2312" w:eastAsia="仿宋_GB2312"/>
                <w:sz w:val="18"/>
              </w:rPr>
              <w:t>(±20mm)</w:t>
            </w:r>
            <w:r>
              <w:rPr>
                <w:rFonts w:ascii="仿宋_GB2312" w:hAnsi="仿宋_GB2312" w:cs="仿宋_GB2312" w:eastAsia="仿宋_GB2312"/>
                <w:sz w:val="18"/>
              </w:rPr>
              <w:t>）左边为三个抽屉带连锁功能，中间设键盘托，右边为一个抽屉带主机；</w:t>
            </w:r>
            <w:r>
              <w:br/>
            </w:r>
            <w:r>
              <w:rPr>
                <w:rFonts w:ascii="仿宋_GB2312" w:hAnsi="仿宋_GB2312" w:cs="仿宋_GB2312" w:eastAsia="仿宋_GB2312"/>
                <w:sz w:val="18"/>
              </w:rPr>
              <w:t xml:space="preserve"> 2.材质： 浅胡桃色，整体采用实木颗粒免漆板，桌面厚度≥2.5公分，侧板厚度≥1.6公分；</w:t>
            </w:r>
            <w:r>
              <w:br/>
            </w:r>
            <w:r>
              <w:rPr>
                <w:rFonts w:ascii="仿宋_GB2312" w:hAnsi="仿宋_GB2312" w:cs="仿宋_GB2312" w:eastAsia="仿宋_GB2312"/>
                <w:sz w:val="18"/>
              </w:rPr>
              <w:t xml:space="preserve"> 3.细节： 滑道采用不锈钢滑道；抽屉底板采用≥5mm加厚高密度；桌面预留穿线孔并配盖。</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提供真实、有效、有CMA标识的检验报告复印件加盖供应商公章。</w:t>
            </w:r>
          </w:p>
        </w:tc>
      </w:tr>
    </w:tbl>
    <w:p>
      <w:pPr>
        <w:pStyle w:val="null3"/>
      </w:pPr>
      <w:r>
        <w:rPr>
          <w:rFonts w:ascii="仿宋_GB2312" w:hAnsi="仿宋_GB2312" w:cs="仿宋_GB2312" w:eastAsia="仿宋_GB2312"/>
        </w:rPr>
        <w:t>标的名称：教师办公椅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1.椅脚：五爪式结构，直径≥32公分，采用一级钢管镀镍工艺；</w:t>
            </w:r>
            <w:r>
              <w:br/>
            </w:r>
            <w:r>
              <w:rPr>
                <w:rFonts w:ascii="仿宋_GB2312" w:hAnsi="仿宋_GB2312" w:cs="仿宋_GB2312" w:eastAsia="仿宋_GB2312"/>
                <w:sz w:val="18"/>
              </w:rPr>
              <w:t xml:space="preserve"> 2.坐垫：坐垫板为一级建筑板，内部填充≥5公分高密度再生海绵；</w:t>
            </w:r>
            <w:r>
              <w:br/>
            </w:r>
            <w:r>
              <w:rPr>
                <w:rFonts w:ascii="仿宋_GB2312" w:hAnsi="仿宋_GB2312" w:cs="仿宋_GB2312" w:eastAsia="仿宋_GB2312"/>
                <w:sz w:val="18"/>
              </w:rPr>
              <w:t xml:space="preserve"> 3.靠背：靠背材质为高强度尼龙；</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提供真实、有效、有CMA标识的检验报告复印件加盖供应商公章。</w:t>
            </w:r>
          </w:p>
        </w:tc>
      </w:tr>
    </w:tbl>
    <w:p>
      <w:pPr>
        <w:pStyle w:val="null3"/>
      </w:pPr>
      <w:r>
        <w:rPr>
          <w:rFonts w:ascii="仿宋_GB2312" w:hAnsi="仿宋_GB2312" w:cs="仿宋_GB2312" w:eastAsia="仿宋_GB2312"/>
        </w:rPr>
        <w:t>标的名称：档案柜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1.规格：高1.9m</w:t>
            </w:r>
            <w:r>
              <w:rPr>
                <w:rFonts w:ascii="仿宋_GB2312" w:hAnsi="仿宋_GB2312" w:cs="仿宋_GB2312" w:eastAsia="仿宋_GB2312"/>
                <w:sz w:val="18"/>
              </w:rPr>
              <w:t>(±20mm)</w:t>
            </w:r>
            <w:r>
              <w:rPr>
                <w:rFonts w:ascii="仿宋_GB2312" w:hAnsi="仿宋_GB2312" w:cs="仿宋_GB2312" w:eastAsia="仿宋_GB2312"/>
                <w:sz w:val="18"/>
              </w:rPr>
              <w:t>×宽0.8m</w:t>
            </w:r>
            <w:r>
              <w:rPr>
                <w:rFonts w:ascii="仿宋_GB2312" w:hAnsi="仿宋_GB2312" w:cs="仿宋_GB2312" w:eastAsia="仿宋_GB2312"/>
                <w:sz w:val="18"/>
              </w:rPr>
              <w:t>(±20mm)</w:t>
            </w:r>
            <w:r>
              <w:rPr>
                <w:rFonts w:ascii="仿宋_GB2312" w:hAnsi="仿宋_GB2312" w:cs="仿宋_GB2312" w:eastAsia="仿宋_GB2312"/>
                <w:sz w:val="18"/>
              </w:rPr>
              <w:t>×深0.4m</w:t>
            </w:r>
            <w:r>
              <w:rPr>
                <w:rFonts w:ascii="仿宋_GB2312" w:hAnsi="仿宋_GB2312" w:cs="仿宋_GB2312" w:eastAsia="仿宋_GB2312"/>
                <w:sz w:val="18"/>
              </w:rPr>
              <w:t>(±20mm)</w:t>
            </w:r>
          </w:p>
          <w:p>
            <w:pPr>
              <w:pStyle w:val="null3"/>
            </w:pPr>
            <w:r>
              <w:rPr>
                <w:rFonts w:ascii="仿宋_GB2312" w:hAnsi="仿宋_GB2312" w:cs="仿宋_GB2312" w:eastAsia="仿宋_GB2312"/>
                <w:sz w:val="18"/>
              </w:rPr>
              <w:t>2.材质：钢材质，</w:t>
            </w:r>
          </w:p>
          <w:p>
            <w:pPr>
              <w:pStyle w:val="null3"/>
            </w:pPr>
            <w:r>
              <w:rPr>
                <w:rFonts w:ascii="仿宋_GB2312" w:hAnsi="仿宋_GB2312" w:cs="仿宋_GB2312" w:eastAsia="仿宋_GB2312"/>
                <w:sz w:val="18"/>
              </w:rPr>
              <w:t>3.基本结构：四开门</w:t>
            </w:r>
          </w:p>
          <w:p>
            <w:pPr>
              <w:pStyle w:val="null3"/>
            </w:pPr>
            <w:r>
              <w:rPr>
                <w:rFonts w:ascii="仿宋_GB2312" w:hAnsi="仿宋_GB2312" w:cs="仿宋_GB2312" w:eastAsia="仿宋_GB2312"/>
                <w:sz w:val="18"/>
              </w:rPr>
              <w:t>4.特色：钢制双抽屉（带锁）</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提供真实、有效、有CMA标识的检验报告复印件加盖供应商公章。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一、履行起始日：本合同自双方法定代表人 / 授权代表签字并盖章之日起生效，履行期限同步起算。 核心履约时限： 乙方需在合同生效后 20个工作日内完成 12 台智慧黑板的备货、运输交付及安装调试； 安装调试完成后 5个工作日内，双方共同完成履约验收。二、 履行截止日：合同履行期限至整机保修期（3 年）届满之日止，期间乙方需履行保修、巡检、技术支持等全部合同义务。 三、延期约定：因不可抗力或甲方原因导致履约延误的，期限相应顺延，乙方不承担违约责任；因乙方原因逾期履约的，按合同违约责任条款执行。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一、履行起始日：本合同自双方法定代表人 / 授权代表签字并盖章之日起生效，履行期限同步起算。 二、核心履约时限： 乙方需在合同生效后 10个工作日内完成 24 台空调的备货、运输交付及安装调试； 安装调试完成后 5个工作日内，双方共同完成履约验收。三、 履行截止日：合同履行期限至整机保修期（3 年）届满之日止，期间乙方需履行保修、巡检、技术支持等全部合同义务。 四、延期约定：因不可抗力或甲方原因导致履约延误的，期限相应顺延，乙方不承担违约责任；因乙方原因逾期履约的，按合同违约责任条款执行。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合同签订后15日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西乡县莲花小学西大街校区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西乡县莲花小学西大街校区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西乡县莲花小学西大街校区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设备安装到位，经采购人验收后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设备安装到位，经采购人验收后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设备安装到位，经采购人验收后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一、交付标准：交付物资完整性 1. 核心设备：12台全新智慧黑板，每台设备需附带出厂合格证、3C认证证书、检测报告等证明文件。 2. 配套附件：每台智慧黑板需配套提供原装遥控器、电源线、数据线、安装支架（或壁挂件）、说明书、保修卡等，附件数量齐全、无破损、能正常使用。 3. 软件资料：预装采购需求中约定的教学软件（如互动教学系统、学科资源库、投屏软件等），提供软件授权证书（12台设备对应独立授权）、安装包备份、操作教程（电子版+纸质版）。 4.包装标准：货物包装需符合国家相关运输包装规范，采用防潮、防震、防碰撞的专业包装材料，外包装标注设备名称、型号、数量、重量、“小心轻放”“向上”等标识，确保货物在运输过程中不受损。 二、验收标准 （一）外观质量标准 1. 黑板面板：表面无划痕、无气泡、无裂纹、无污渍，边缘无毛刺、无变形，防眩光、防反光效果符合采购需求（可正常视角下无明显反光，不影响学生观看）。 2. 机身结构：金属边框（或外壳）无锈蚀、无凹陷、无掉漆，接口盖板、按键开关灵活可靠，无松动、卡顿现象；整体结构稳固，无晃动、异响。 3. 标识规范：每台设备机身需清晰标注产品型号、品牌、生产厂家、额定电压、功率等信息，标识清晰、不易脱落。 （二）数量与规格一致性标准 1. 数量核对：实际交付的智慧黑板数量为12台，无短缺、多送情况，与合同约定数量一致。 2. 规格参数：每台设备的核心参数需完全符合采购需求约定，关键参数需与采购标的一致。 （三）功能性能标准 1. 显示功能：开机后屏幕显示清晰、色彩均匀，无坏点、亮点、暗斑，画面无闪烁、无拖影；支持亮度调节、对比度调节、色彩模式切换，调节功能正常。 2. 触控功能：触控精准度误差≤[15mm]，无漂移、无断触现象；支持单点触控、多点缩放、平移、旋转等操作，响应及时、流畅。 3. 系统功能：双系统切换灵活，无卡顿、死机现象；Windows系统和Android系统均可正常启动、运行，支持软件安装、卸载，无兼容性问题。 4. 教学软件功能：预装的教学软件可正常打开、使用，互动教学功能（如批注、擦除、板书保存、课件展示）、投屏功能（无线投屏、有线投屏）、资源库调用等功能符合采购需求，无功能缺失、报错情况。 5. 稳定性：连续开机运行≥24小时，无自动关机、重启、蓝屏等故障；设备运行时噪音≤[40dB]，无明显发热异常。 6. 安全性：设备符合《信息技术设备 安全 第1部分：通用要求》，具备过压保护、过流保护、短路保护功能；板材符合环保标准，无刺鼻异味，提供环保检测报告。 （四）安装调试标准 1. 安装位置：按学校指定的教室墙面（或支架位置）安装，安装牢固、水平垂直，无倾斜、松动现象；与墙面贴合紧密，缝隙均匀（≤[15mm]）。 2. 线路布置：电源线、数据线等布线规范，隐藏式设计（或整理整齐），不影响教室正常通行和教学活动；接口连接牢固，无松动、接触不良情况。 3. 调试效果：安装后逐一调试设备，确保显示、触控、系统、软件等所有功能正常运行；与教室内现有设备（如投影仪、音响、网络）兼容，可正常联动使用。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交付标准：符合本次采购技术参数要求、国家标准及3C认证要求，产品外观无破损、部件齐全，安装符合《家用和类似用途空调器安装规范》（GB 17790-2008）。 验收方法：①到货验收：采购方核对24台空调数量、型号、资质文件（合格证、检测报告等）及外观，初验合格签署到货确认单；②安装调试验收：供应商完成安装后，实测核心参数（制冷/制热功率、APF值、噪音等，需提供专业检测设备数据），演示变频、电辅热等功能，确保运行正常； ③最终验收：采购方组织验收小组（含技术人员）复核全部内容，合格后签署验收报告，不合格则出具整改通知。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标准：需完全符合本需求载明的技术参数，同时符合国家相关标准及环保标准。 方法： ①到货验收：采购方安排2名及以上人员核对家具数量、型号与合同一致性，检查包装完整性及外观有无磕碰、变形，初验合格签署《到货确认单》； ②安装调试验收：供应商完成安装后，采购方实测家具尺寸（误差需≤±2mm）、材质厚度，测试抽屉开合、锁具功能、键盘托推拉等性能，确保安装牢固无松动； ③最终验收：组建联合验收小组进行全面复核，合格后签署《验收单》，不合格出具书面整改通知。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一、保修期核心约定 （一）基础保修期 1.整机保修期：自《最终验收合格报告》签署之日起，整机免费保修期为 3 年（含人工、配件、上门服务等全部费用）。 2.核心部件保修期：以下核心部件免费保修期 3年（自验收合格之日起），涵盖： （1）显示面板（液晶屏）、触控模组（红外 / 电容触控组件）； （2）主板、电源板、双系统模块（Windows/Android 系统芯片）； （3）散热系统（风扇、散热片）、内置音响模块。 3.配套附件保修期： （1）原装遥控器、电源线、数据线等易损耗附件，免费保修期为 6 个月； （2）安装支架（壁挂件）等结构类附件，免费保修期为 2 年。 4.软件授权及保修期： （1）预装教学软件（互动教学系统、学科资源库、投屏软件等），授权期限为 永久有效，免费升级维护期为3年（含功能迭代、BUG 修复、版本更新）； （2）软件技术支持保修期与整机一致（3 年），3年升级期内提供免费远程技术支持。 （二）保修期计算说明 1.保修期起算时间以《最终验收合格报告》双方签字盖章日期为准，无验收报告的，以设备安装调试完成并交付使用之日起算； 2.维修或更换后的部件 / 设备，保修期按以下规则执行： （1）整机维修的，整机保修期不延长，仍按原起算时间计算； （2）保修期内多次维修仍无法正常使用的，乙方需免费更换同型号整机，更换后整机保修期自更换之日起重新计算 3 年。 二、质量保修范围 （一）免费保修范围 1.设备在正常使用（符合产品说明书及教学场景使用要求）情况下，因产品设计、材料、工艺缺陷导致的硬件故障，包括： （1）显示故障：屏幕花屏、黑屏、闪烁、坏点增多（超过国家规定标准）、亮度异常； （2）触控故障：触控失灵、漂移、断触、多点触控功能失效； （3）系统故障：双系统无法启动、切换异常、频繁死机、蓝屏（非人为操作或病毒导致）； （4）部件故障：主板、电源板等核心部件损坏，散热风扇故障、音响无声音等。 2.软件在正常使用过程中出现的功能异常、兼容性问题、BUG 故障，乙方需提供免费修复、升级或重新安装服务； 3.保修期内，乙方需提供免费上门维修、部件更换、技术支持等服务，无需学校承担任何费用（包括配件费、人工费、差旅费、交通费等）。 （二）不保修范围 1.人为因素导致的损坏，包括： （1）故意损坏、误操作、私自拆卸、改装设备（如拆机更换部件、修改系统参数）； （2）教学过程中意外碰撞、摔落、液体泼洒导致的硬件损坏； （3）未按产品说明书要求使用设备（如使用非原装电源、外接不兼容设备）。 2.不可抗力导致的损坏，包括地震、洪水、雷击、火灾、台风等自然灾害，以及电压异常、电路故障等外部环境因素造成的损坏。 3.正常损耗及耗材类物品，包括： （1）设备外壳、边框的轻微划痕、磨损（不影响功能使用）； （2）遥控电池、数据线接口的自然老化（非质量问题）； （3）软件因病毒感染、误删除系统文件导致的故障（乙方可提供付费修复服务）。 4.其他非产品质量问题导致的损坏，如第三方维修造成的二次故障、未通过乙方授权的维修服务导致的设备损坏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保修范围：整机（含内机、外机）及所有零部件（压缩机、蒸发器、冷凝器、电路板、风扇等），涵盖安装质量问题（如铜管漏水、支架松动等）。 保修期：自最终验收合格之日起3年，质保期内免费提供维修、零部件更换及上门服务，不收取人工费、备件费；因采购方人为损坏的，供应商可提供成本价维修。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保修范围：涵盖所有采购家具的整机、零部件及安装质量。 保修期：自最终验收合格并签署《履约验收报告》之日起计算，整体保修期3年。质保期内，因产品质量或安装问题导致故障的，供应商需在接到报修通知后24小时内响应，48小时内到场免费维修或更换故障部件；无法维修的，免费更换同型号全新产品。人为损坏或不可抗力导致的故障，供应商可提供成本价维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1.乙方违约：逾期交付的，每逾期 1 日按合同总额的 0.1‰支付违约金；质量不达标或未履行保修义务的，需限期整改并赔偿实际损失，逾期未整改甲方有权解除合同。 甲方违约：逾期付款的，每逾期 1 日按应付未付款的 0.1‰]支付违约金；无故拒收货物的，需赔偿乙方合理损失（含运输、仓储费）。 二、争议解决方法 1.双方协商解决；协商不成的，提交西乡县教育主管部门调解。 2.调解无效的，向设备交付地（西乡县莲花小学西大街校区）有管辖权的人民法院提起诉讼。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①供应商延期交付的，每逾期1日扣除合同总额0.5%违约金，逾期超过15日，采购方有权解除合同并要求赔偿；②产品质量不合格且整改后仍不达标的，采购方有权退货，供应商退还已付款并支付合同总额20%违约金；③采购方逾期付款的，每逾期1日按应付未付金额0.3%支付违约金。 争议解决：先由双方友好协商；协商不成的，向采购方所在地有管辖权的人民法院提起诉讼。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1.乙方违约：逾期交付的，每逾期 1 日按合同总额的 0.1‰支付违约金；质量不达标或未履行保修义务的，需限期整改并赔偿实际损失，逾期未整改甲方有权解除合同。 甲方违约：逾期付款的，每逾期 1 日按应付未付款的 0.1‰]支付违约金；无故拒收货物的，需赔偿乙方合理损失（含运输、仓储费）。 二、争议解决方法 1.双方协商解决；协商不成的，提交西乡县教育主管部门调解。 2.调解无效的，向交付地（西乡县莲花小学西大街校区）有管辖权的人民法院提起诉讼。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投出具合法有效的供应商资格承诺函</w:t>
            </w:r>
          </w:p>
        </w:tc>
        <w:tc>
          <w:tcPr>
            <w:tcW w:type="dxa" w:w="1661"/>
          </w:tcPr>
          <w:p>
            <w:pPr>
              <w:pStyle w:val="null3"/>
            </w:pPr>
            <w:r>
              <w:rPr>
                <w:rFonts w:ascii="仿宋_GB2312" w:hAnsi="仿宋_GB2312" w:cs="仿宋_GB2312" w:eastAsia="仿宋_GB2312"/>
              </w:rPr>
              <w:t>西乡县政府采购供应商资格承诺函.docx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法定代表人参加征集活动的，须提供法定代表人身份证明书；法定代表人授权代表参加征集活动的，须提供法定代表人授权委托书。</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联合体声明.docx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出具合法有效的供应商资格承诺函</w:t>
            </w:r>
          </w:p>
        </w:tc>
        <w:tc>
          <w:tcPr>
            <w:tcW w:type="dxa" w:w="1661"/>
          </w:tcPr>
          <w:p>
            <w:pPr>
              <w:pStyle w:val="null3"/>
            </w:pPr>
            <w:r>
              <w:rPr>
                <w:rFonts w:ascii="仿宋_GB2312" w:hAnsi="仿宋_GB2312" w:cs="仿宋_GB2312" w:eastAsia="仿宋_GB2312"/>
              </w:rPr>
              <w:t>西乡县政府采购供应商资格承诺函.docx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法定代表人参加征集活动的，须提供法定代表人身份证明书；法定代表人授权代表参加征集活动的，须提供法定代表人授权委托书。</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联合体声明.docx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出具合法有效的供应商资格承诺函</w:t>
            </w:r>
          </w:p>
        </w:tc>
        <w:tc>
          <w:tcPr>
            <w:tcW w:type="dxa" w:w="1661"/>
          </w:tcPr>
          <w:p>
            <w:pPr>
              <w:pStyle w:val="null3"/>
            </w:pPr>
            <w:r>
              <w:rPr>
                <w:rFonts w:ascii="仿宋_GB2312" w:hAnsi="仿宋_GB2312" w:cs="仿宋_GB2312" w:eastAsia="仿宋_GB2312"/>
              </w:rPr>
              <w:t>西乡县政府采购供应商资格承诺函.docx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不接受联合体投标，不允许分包，供应商提供声明函或承诺函。</w:t>
            </w:r>
          </w:p>
        </w:tc>
        <w:tc>
          <w:tcPr>
            <w:tcW w:type="dxa" w:w="1661"/>
          </w:tcPr>
          <w:p>
            <w:pPr>
              <w:pStyle w:val="null3"/>
            </w:pPr>
            <w:r>
              <w:rPr>
                <w:rFonts w:ascii="仿宋_GB2312" w:hAnsi="仿宋_GB2312" w:cs="仿宋_GB2312" w:eastAsia="仿宋_GB2312"/>
              </w:rPr>
              <w:t>联合体声明.docx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法定代表人参加征集活动的，须提供法定代表人身份证明书；法定代表人授权代表参加征集活动的，须提供法定代表人授权委托书。</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应符合招标文件的要求且无遗漏。</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同类业绩统计样表.docx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同时满足以下条款： （1）报价符合唯一性要求 （2）未超出采购文件规定的最高限价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须完全响应招标文件的采购内容及服务要求，“★”项为实质性响应性，不得负偏离。</w:t>
            </w:r>
          </w:p>
        </w:tc>
        <w:tc>
          <w:tcPr>
            <w:tcW w:type="dxa" w:w="1661"/>
          </w:tcPr>
          <w:p>
            <w:pPr>
              <w:pStyle w:val="null3"/>
            </w:pPr>
            <w:r>
              <w:rPr>
                <w:rFonts w:ascii="仿宋_GB2312" w:hAnsi="仿宋_GB2312" w:cs="仿宋_GB2312" w:eastAsia="仿宋_GB2312"/>
              </w:rPr>
              <w:t>产品技术参数表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没有出现法律法规或采购文件规定的其他无效情形</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强制CCC认证产品</w:t>
            </w:r>
          </w:p>
        </w:tc>
        <w:tc>
          <w:tcPr>
            <w:tcW w:type="dxa" w:w="3322"/>
          </w:tcPr>
          <w:p>
            <w:pPr>
              <w:pStyle w:val="null3"/>
            </w:pPr>
            <w:r>
              <w:rPr>
                <w:rFonts w:ascii="仿宋_GB2312" w:hAnsi="仿宋_GB2312" w:cs="仿宋_GB2312" w:eastAsia="仿宋_GB2312"/>
              </w:rPr>
              <w:t>提供合法有效的CCC认证证书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应符合招标文件的要求且无遗漏</w:t>
            </w:r>
          </w:p>
        </w:tc>
        <w:tc>
          <w:tcPr>
            <w:tcW w:type="dxa" w:w="1661"/>
          </w:tcPr>
          <w:p>
            <w:pPr>
              <w:pStyle w:val="null3"/>
            </w:pPr>
            <w:r>
              <w:rPr>
                <w:rFonts w:ascii="仿宋_GB2312" w:hAnsi="仿宋_GB2312" w:cs="仿宋_GB2312" w:eastAsia="仿宋_GB2312"/>
              </w:rPr>
              <w:t>投标函 投标文件封面 同类业绩统计样表.docx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同时满足以下条款： （1）报价符合唯一性要求 （2）未超出采购文件规定的最高限价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须完全响应招标文件的采购内容及服务要求，“★”项为实质性响应性，不得负偏离。</w:t>
            </w:r>
          </w:p>
        </w:tc>
        <w:tc>
          <w:tcPr>
            <w:tcW w:type="dxa" w:w="1661"/>
          </w:tcPr>
          <w:p>
            <w:pPr>
              <w:pStyle w:val="null3"/>
            </w:pPr>
            <w:r>
              <w:rPr>
                <w:rFonts w:ascii="仿宋_GB2312" w:hAnsi="仿宋_GB2312" w:cs="仿宋_GB2312" w:eastAsia="仿宋_GB2312"/>
              </w:rPr>
              <w:t>产品技术参数表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没有出现法律法规或采购文件规定的其他无效情形</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强制节能产品认证</w:t>
            </w:r>
          </w:p>
        </w:tc>
        <w:tc>
          <w:tcPr>
            <w:tcW w:type="dxa" w:w="3322"/>
          </w:tcPr>
          <w:p>
            <w:pPr>
              <w:pStyle w:val="null3"/>
            </w:pPr>
            <w:r>
              <w:rPr>
                <w:rFonts w:ascii="仿宋_GB2312" w:hAnsi="仿宋_GB2312" w:cs="仿宋_GB2312" w:eastAsia="仿宋_GB2312"/>
              </w:rPr>
              <w:t>提供合法有效的节能产品认证证书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强制CCC认证产品</w:t>
            </w:r>
          </w:p>
        </w:tc>
        <w:tc>
          <w:tcPr>
            <w:tcW w:type="dxa" w:w="3322"/>
          </w:tcPr>
          <w:p>
            <w:pPr>
              <w:pStyle w:val="null3"/>
            </w:pPr>
            <w:r>
              <w:rPr>
                <w:rFonts w:ascii="仿宋_GB2312" w:hAnsi="仿宋_GB2312" w:cs="仿宋_GB2312" w:eastAsia="仿宋_GB2312"/>
              </w:rPr>
              <w:t>提供合法有效的CCC认证证书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应符合招标文件的要求且无遗漏</w:t>
            </w:r>
          </w:p>
        </w:tc>
        <w:tc>
          <w:tcPr>
            <w:tcW w:type="dxa" w:w="1661"/>
          </w:tcPr>
          <w:p>
            <w:pPr>
              <w:pStyle w:val="null3"/>
            </w:pPr>
            <w:r>
              <w:rPr>
                <w:rFonts w:ascii="仿宋_GB2312" w:hAnsi="仿宋_GB2312" w:cs="仿宋_GB2312" w:eastAsia="仿宋_GB2312"/>
              </w:rPr>
              <w:t>开标一览表 产品技术参数表 投标函 商务应答表 标的清单 同类业绩统计样表.docx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同时满足以下条款： （1）报价符合唯一性要求 （2）未超出采购文件规定的最高限价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须完全响应招标文件的采购内容及服务要求，且无负偏离</w:t>
            </w:r>
          </w:p>
        </w:tc>
        <w:tc>
          <w:tcPr>
            <w:tcW w:type="dxa" w:w="1661"/>
          </w:tcPr>
          <w:p>
            <w:pPr>
              <w:pStyle w:val="null3"/>
            </w:pPr>
            <w:r>
              <w:rPr>
                <w:rFonts w:ascii="仿宋_GB2312" w:hAnsi="仿宋_GB2312" w:cs="仿宋_GB2312" w:eastAsia="仿宋_GB2312"/>
              </w:rPr>
              <w:t>产品技术参数表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没有出现法律法规或采购文件规定的其他无效情形</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总体方案（16分）： 针对该项目须有完善的实施方案体系。 包含：①项目实施计划 ②供货进度保证措施 ③应急预案措施 ④安装调试方案； 以上内容齐全得16分，每缺少一项内容扣4分,每项内容中每存在一处内容缺陷的扣1分， 本小项扣完为止。 注：(1)以上内容要素完整且描述清晰是指： ①内容与项目技术服务需求吻合、层次细化，不限于上述内容的文字、图片、表格等形式呈现内容，并满足本项目要求； ②内容从实际出发，切合项目背景、项目需求以及市场供应情况发现问题并提出合理化专业技术建议或者解决方案； ③内容符合国家、地方、行业标准、行业惯例以及项目特点。 ④内容清楚明了、表述规范、含义准确。 （2）缺陷指：项目名称、涉及的规范、标准与本项目要求不一致、内容与项目无关、内容表述错误、内容前后表述矛盾、内容不满足本项目实际情况需要、与项目不匹配。</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针对本项目具体可行的①质量保证方案及措施②能够保质保量完成本次项目的具体思路；上述内容全面完整，合理、可行性较强、具有针对性的，得6分，每缺一项内容，扣3分，每一项内容中每出现一处错误和不足的，扣1分，扣完为止。 说明:错误或不足是指只是简单的复制采购需求内容而没有具体详细阐述;非专门针对本项目或与本项目需求不匹配的情形;方案内容脱离项目实际情况;方案内容与采购需求不符合;方案内容缺乏执行性;涉及的规范及标准错误;方案编排混乱、语义表述不清楚、方案内容矛盾;项目信息(项目名称、地点区域等)错误;方案仅有框架或标题无实质性内容;方案明显套用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设备产品</w:t>
            </w:r>
          </w:p>
        </w:tc>
        <w:tc>
          <w:tcPr>
            <w:tcW w:type="dxa" w:w="2492"/>
          </w:tcPr>
          <w:p>
            <w:pPr>
              <w:pStyle w:val="null3"/>
            </w:pPr>
            <w:r>
              <w:rPr>
                <w:rFonts w:ascii="仿宋_GB2312" w:hAnsi="仿宋_GB2312" w:cs="仿宋_GB2312" w:eastAsia="仿宋_GB2312"/>
              </w:rPr>
              <w:t>设备产品（33分）： 1.产品合法来源资料(3分) 提供所投产品、配件货源渠道正常，确保无假货、水货、翻新货，技术资料齐全，无产权纠纷，提供相关证明资料(包括但不限于厂家授权、销售协议、代理协议等)，提供所投产品的证明文件扫描件或复印件并加盖投标人公章得3分，不提供不得分。 2.所投产品的技术参数、配置和功能需求(30分) 投标人所投标产品完全满足招标文件技术参数“▲"项（10项），每满足一项得3分，不满足不得分。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设备产品证明资料.docx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售后服务及质保期维修方案（9分） ：投标人针对本项目制定售后服务方案，内容包含：①售后服务人员安排；②日常维护内容和操作流程；③故障解决措施及处理时间等内容：以上内容齐全得9分，每缺少一项内容扣3分,每项内容中每存在一处内容缺陷的扣1分，每项最多扣1分 , 扣完为止。不提供不得分。注：(1)以上内容要素完整且描述清晰是指：①内容与项目技术服务需求吻合、层次细化，不限于上述内容的文字、图片、表格等形式呈现内容，并满足本项目要求；②内容从实际出发，切合项目背景、项目需求以及市场供应情况发现问题并提出合理化专业技术建议或者解决方案；③内容符合国家、地方、行业标准、行业惯例以及项目特点。④内容清楚明了、表述规范、含义准确。（2）缺陷指：项目名称、涉及的规范、标准与本项目要求不一致、内容与项目无关、内容表述错误、内容前后表述矛盾、内容不满足本项目实际情况需要、与项目不匹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 12月以来由投标人完成的同类项目的供货合同（以合同签订日期为准），每个 2分，最多计6分。 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同类业绩统计样表.docx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总体方案（16分）： 针对该项目须有完善的实施方案体系。包含：①项目实施计划②供货进度保证措施③应急预案措施④安装调试方案；以上内容齐全得16分，每缺少一项内容扣4分,每项内容中每存在一处内容缺陷的扣1分， 本小项扣完为止。 注：(1)以上内容要素完整且描述清晰是指：①内容与项目技术服务需求吻合、层次细化，不限于上述内容的文字、图片、表格等形式呈现内容，并满足本项目要求；②内容从实际出发，切合项目背景、项目需求以及市场供应情况发现问题并提出合理化专业技术建议或者解决方案；③内容符合国家、地方、行业标准、行业惯例以及项目特点。④内容清楚明了、表述规范、含义准确。（2）缺陷指：项目名称、涉及的规范、标准与本项目要求不一致、内容与项目无关、内容表述错误、内容前后表述矛盾、内容不满足本项目实际情况需要、与项目不匹配。</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针对本项目具体可行的①质量保证方案及措施②能够保质保量完成本次项目的具体思路；上述内容全面完整，合理、可行性较强、具有针对性的，得6分，每缺一项内容，扣3分，每一项内容中每出现一处错误和不足的，扣1分，扣完为止。 说明:错误或不足是指只是简单的复制采购需求内容而没有具体详细阐述;非专门针对本项目或与本项目需求不匹配的情形;方案内容脱离项目实际情况;方案内容与采购需求不符合;方案内容缺乏执行性;涉及的规范及标准错误;方案编排混乱、语义表述不清楚、方案内容矛盾;项目信息(项目名称、地点区域等)错误;方案仅有框架或标题无实质性内容;方案明显套用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设备产品</w:t>
            </w:r>
          </w:p>
        </w:tc>
        <w:tc>
          <w:tcPr>
            <w:tcW w:type="dxa" w:w="2492"/>
          </w:tcPr>
          <w:p>
            <w:pPr>
              <w:pStyle w:val="null3"/>
            </w:pPr>
            <w:r>
              <w:rPr>
                <w:rFonts w:ascii="仿宋_GB2312" w:hAnsi="仿宋_GB2312" w:cs="仿宋_GB2312" w:eastAsia="仿宋_GB2312"/>
              </w:rPr>
              <w:t>1.产品合法来源资料（3分） 提供所投产品、配件货源渠道正常，确保无假货、水货、翻新货，技术资料齐全，无产权纠纷，提供相关证明资料(包括但不限于厂家授权、销售协议、代理协议等)，提供所投产品的证明文件扫描件或复印件并加盖投标人公章得2分。不提供不得分。 2.产品详细资料（30分）投标人所投标产品完全满足招标文件技术参数“▲"项（10项），每满足一项得3分，不满足不得分。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设备产品证明资料.docx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2022年12月以来由投标人完成的同类项目的供货合同（以合同签订日期为准），每个 2分，最多计6分。 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同类业绩统计样表.docx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售后服务及质保期维修方案（9分） ：投标人针对本项目制定售后服务方案，内容包含：①售后服务人员安排；②日常维护内容和操作流程；③故障解决措施及处理时间等内容：以上内容齐全得9分，每缺少一项内容扣3分,每项内容中每存在一处内容缺陷的扣1分，每项最多扣1分 , 扣完为止。不提供不得分。注：(1)以上内容要素完整且描述清晰是指：①内容与项目技术服务需求吻合、层次细化，不限于上述内容的文字、图片、表格等形式呈现内容，并满足本项目要求；②内容从实际出发，切合项目背景、项目需求以及市场供应情况发现问题并提出合理化专业技术建议或者解决方案；③内容符合国家、地方、行业标准、行业惯例以及项目特点。④内容清楚明了、表述规范、含义准确。（2）缺陷指：项目名称、涉及的规范、标准与本项目要求不一致、内容与项目无关、内容表述错误、内容前后表述矛盾、内容不满足本项目实际情况需要、与项目不匹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总体方案（10分）： 针对该项目须有完善的实施方案体系。包含：①项目实施计划；②供货进度保证措施；③应急预案措施；④安装调试方案；上述内容全面完整，合理、可行性较强、具有针对性的，根据响应程度得分，最高得10分，每缺一项内容，扣2.5分，每一项内容中每出现一处错误和不足的，扣1分，扣完为止。 说明:错误或不足是指只是简单的复制采购需求内容而没有具体详细阐述;非专门针对本项目或与本项目需求不匹配的情形;方案内容脱离项目实际情况;方案内容与采购需求不符合;方案内容缺乏执行性;涉及的规范及标准错误;方案编排混乱、语义表述不清楚、方案内容矛盾;项目信息(项目名称、地点区域等)错误;方案仅有框架或标题无实质性内容;方案明显套用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质量保证方案（8分）： 供应商提供针对本项目具体可行的①质量保证方案及措施②能够保质保量完成本次项目的具体思路，上述内容全面完整，合理、可行性较强、具有针对性的，得8分，每缺一项内容，扣4分，每一项内容中每出现一处错误和不足的，扣1分，每小项扣完为止。 说明:错误或不足是指只是简单的复制采购需求内容而没有具体详细阐述;非专门针对本项目或与本项目需求不匹配的情形;方案内容脱离项目实际情况;方案内容与采购需求不符合;方案内容缺乏执行性;涉及的规范及标准错误;方案编排混乱、语义表述不清楚、方案内容矛盾;项目信息(项目名称、地点区域等)错误;方案仅有框架或标题无实质性内容;方案明显套用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 2022年12月以来完成的同类项目合同（以合同签订日期为准），每个2分，最多计6分。 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同类业绩统计样表.docx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售后服务及质保期维修方案（6分） ：投标人针对本项目制定售后服务方案，内容包含：①售后服务人员安排；②日常维护内容和操作流程；③故障解决措施及处理时间等，以上内容齐全得6分，每缺少一项内容扣2分,每项内容中每存在一处内容缺陷的扣1分，小项内 扣完为止。不提供不得分。注：(1)以上内容要素完整且描述清晰是指：①内容与项目技术服务需求吻合、层次细化，不限于上述内容的文字、图片、表格等形式呈现内容，并满足本项目要求；②内容从实际出发，切合项目背景、项目需求以及市场供应情况发现问题并提出合理化专业技术建议或者解决方案；③内容符合国家、地方、行业标准、行业惯例以及项目特点。④内容清楚明了、表述规范、含义准确。（2）缺陷指：项目名称、涉及的规范、标准与本项目要求不一致、内容与项目无关、内容表述错误、内容前后表述矛盾、内容不满足本项目实际情况需要、与项目不匹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服务保障方案.docx</w:t>
            </w:r>
          </w:p>
        </w:tc>
      </w:tr>
      <w:tr>
        <w:tc>
          <w:tcPr>
            <w:tcW w:type="dxa" w:w="831"/>
            <w:vMerge/>
          </w:tcPr>
          <w:p/>
        </w:tc>
        <w:tc>
          <w:tcPr>
            <w:tcW w:type="dxa" w:w="1661"/>
          </w:tcPr>
          <w:p>
            <w:pPr>
              <w:pStyle w:val="null3"/>
            </w:pPr>
            <w:r>
              <w:rPr>
                <w:rFonts w:ascii="仿宋_GB2312" w:hAnsi="仿宋_GB2312" w:cs="仿宋_GB2312" w:eastAsia="仿宋_GB2312"/>
              </w:rPr>
              <w:t>技术规格</w:t>
            </w:r>
          </w:p>
        </w:tc>
        <w:tc>
          <w:tcPr>
            <w:tcW w:type="dxa" w:w="2492"/>
          </w:tcPr>
          <w:p>
            <w:pPr>
              <w:pStyle w:val="null3"/>
            </w:pPr>
            <w:r>
              <w:rPr>
                <w:rFonts w:ascii="仿宋_GB2312" w:hAnsi="仿宋_GB2312" w:cs="仿宋_GB2312" w:eastAsia="仿宋_GB2312"/>
              </w:rPr>
              <w:t>产品详细资料（40分）投标人所投标产品完全满足招标文件技术参数“▲"项（16项），每满足一项得2.5分，不满足不得分。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设备产品证明资料.docx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详见附件：联合体声明.docx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详见附件：西乡县政府采购供应商资格承诺函.docx</w:t>
      </w:r>
    </w:p>
    <w:p>
      <w:pPr>
        <w:pStyle w:val="null3"/>
        <w:ind w:firstLine="960"/>
      </w:pPr>
      <w:r>
        <w:rPr>
          <w:rFonts w:ascii="仿宋_GB2312" w:hAnsi="仿宋_GB2312" w:cs="仿宋_GB2312" w:eastAsia="仿宋_GB2312"/>
        </w:rPr>
        <w:t>详见附件：同类业绩统计样表.docx</w:t>
      </w:r>
    </w:p>
    <w:p>
      <w:pPr>
        <w:pStyle w:val="null3"/>
        <w:ind w:firstLine="960"/>
      </w:pPr>
      <w:r>
        <w:rPr>
          <w:rFonts w:ascii="仿宋_GB2312" w:hAnsi="仿宋_GB2312" w:cs="仿宋_GB2312" w:eastAsia="仿宋_GB2312"/>
        </w:rPr>
        <w:t>详见附件：服务保障方案.docx</w:t>
      </w:r>
    </w:p>
    <w:p>
      <w:pPr>
        <w:pStyle w:val="null3"/>
        <w:ind w:firstLine="960"/>
      </w:pPr>
      <w:r>
        <w:rPr>
          <w:rFonts w:ascii="仿宋_GB2312" w:hAnsi="仿宋_GB2312" w:cs="仿宋_GB2312" w:eastAsia="仿宋_GB2312"/>
        </w:rPr>
        <w:t>详见附件：设备产品证明资料.docx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详见附件：组织实施方案.docx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详见附件：联合体声明.docx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详见附件：西乡县政府采购供应商资格承诺函.docx</w:t>
      </w:r>
    </w:p>
    <w:p>
      <w:pPr>
        <w:pStyle w:val="null3"/>
        <w:ind w:firstLine="960"/>
      </w:pPr>
      <w:r>
        <w:rPr>
          <w:rFonts w:ascii="仿宋_GB2312" w:hAnsi="仿宋_GB2312" w:cs="仿宋_GB2312" w:eastAsia="仿宋_GB2312"/>
        </w:rPr>
        <w:t>详见附件：同类业绩统计样表.docx</w:t>
      </w:r>
    </w:p>
    <w:p>
      <w:pPr>
        <w:pStyle w:val="null3"/>
        <w:ind w:firstLine="960"/>
      </w:pPr>
      <w:r>
        <w:rPr>
          <w:rFonts w:ascii="仿宋_GB2312" w:hAnsi="仿宋_GB2312" w:cs="仿宋_GB2312" w:eastAsia="仿宋_GB2312"/>
        </w:rPr>
        <w:t>详见附件：服务保障方案.docx</w:t>
      </w:r>
    </w:p>
    <w:p>
      <w:pPr>
        <w:pStyle w:val="null3"/>
        <w:ind w:firstLine="960"/>
      </w:pPr>
      <w:r>
        <w:rPr>
          <w:rFonts w:ascii="仿宋_GB2312" w:hAnsi="仿宋_GB2312" w:cs="仿宋_GB2312" w:eastAsia="仿宋_GB2312"/>
        </w:rPr>
        <w:t>详见附件：设备产品证明资料.docx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详见附件：组织实施方案.docx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详见附件：联合体声明.docx</w:t>
      </w:r>
    </w:p>
    <w:p>
      <w:pPr>
        <w:pStyle w:val="null3"/>
        <w:ind w:firstLine="960"/>
      </w:pPr>
      <w:r>
        <w:rPr>
          <w:rFonts w:ascii="仿宋_GB2312" w:hAnsi="仿宋_GB2312" w:cs="仿宋_GB2312" w:eastAsia="仿宋_GB2312"/>
        </w:rPr>
        <w:t>详见附件：西乡县政府采购供应商资格承诺函.docx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详见附件：同类业绩统计样表.docx</w:t>
      </w:r>
    </w:p>
    <w:p>
      <w:pPr>
        <w:pStyle w:val="null3"/>
        <w:ind w:firstLine="960"/>
      </w:pPr>
      <w:r>
        <w:rPr>
          <w:rFonts w:ascii="仿宋_GB2312" w:hAnsi="仿宋_GB2312" w:cs="仿宋_GB2312" w:eastAsia="仿宋_GB2312"/>
        </w:rPr>
        <w:t>详见附件：服务保障方案.docx</w:t>
      </w:r>
    </w:p>
    <w:p>
      <w:pPr>
        <w:pStyle w:val="null3"/>
        <w:ind w:firstLine="960"/>
      </w:pPr>
      <w:r>
        <w:rPr>
          <w:rFonts w:ascii="仿宋_GB2312" w:hAnsi="仿宋_GB2312" w:cs="仿宋_GB2312" w:eastAsia="仿宋_GB2312"/>
        </w:rPr>
        <w:t>详见附件：设备产品证明资料.docx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详见附件：组织实施方案.docx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