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版本号：BYTC2025CG05920251216001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医保智能审核系统采购项目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BYTC2025CG059</w:t>
      </w:r>
      <w:r>
        <w:br/>
      </w:r>
      <w:r>
        <w:br/>
      </w:r>
      <w:r>
        <w:br/>
      </w:r>
    </w:p>
    <w:p>
      <w:pPr>
        <w:pStyle w:val="null3"/>
        <w:jc w:val="center"/>
        <w:outlineLvl w:val="2"/>
      </w:pPr>
      <w:r>
        <w:rPr>
          <w:rFonts w:ascii="仿宋_GB2312" w:hAnsi="仿宋_GB2312" w:cs="仿宋_GB2312" w:eastAsia="仿宋_GB2312"/>
          <w:sz w:val="28"/>
          <w:b/>
        </w:rPr>
        <w:t>西乡县中医医院</w:t>
      </w:r>
    </w:p>
    <w:p>
      <w:pPr>
        <w:pStyle w:val="null3"/>
        <w:jc w:val="center"/>
        <w:outlineLvl w:val="2"/>
      </w:pPr>
      <w:r>
        <w:rPr>
          <w:rFonts w:ascii="仿宋_GB2312" w:hAnsi="仿宋_GB2312" w:cs="仿宋_GB2312" w:eastAsia="仿宋_GB2312"/>
          <w:sz w:val="28"/>
          <w:b/>
        </w:rPr>
        <w:t>陕西博宇天诚项目管理有限公司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陕西博宇天诚项目管理有限公司</w:t>
      </w:r>
      <w:r>
        <w:rPr>
          <w:rFonts w:ascii="仿宋_GB2312" w:hAnsi="仿宋_GB2312" w:cs="仿宋_GB2312" w:eastAsia="仿宋_GB2312"/>
        </w:rPr>
        <w:t>（以下简称“代理机构”）受</w:t>
      </w:r>
      <w:r>
        <w:rPr>
          <w:rFonts w:ascii="仿宋_GB2312" w:hAnsi="仿宋_GB2312" w:cs="仿宋_GB2312" w:eastAsia="仿宋_GB2312"/>
        </w:rPr>
        <w:t>西乡县中医医院</w:t>
      </w:r>
      <w:r>
        <w:rPr>
          <w:rFonts w:ascii="仿宋_GB2312" w:hAnsi="仿宋_GB2312" w:cs="仿宋_GB2312" w:eastAsia="仿宋_GB2312"/>
        </w:rPr>
        <w:t>委托，拟对</w:t>
      </w:r>
      <w:r>
        <w:rPr>
          <w:rFonts w:ascii="仿宋_GB2312" w:hAnsi="仿宋_GB2312" w:cs="仿宋_GB2312" w:eastAsia="仿宋_GB2312"/>
        </w:rPr>
        <w:t>医保智能审核系统采购项目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BYTC2025CG059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医保智能审核系统采购项目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采购医保智能审核系统、接口开发服务及质保服务等，详见采购文件。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采购包1（医保智能审核系统采购项目）：属于专门面向中小企业采购。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1、有效的主体资格证明：（1）具有独立承担民事责任能力的法人、其他组织或自然人，并出具合法有效的营业执照或事业单位法人证书等国家规定的相关证明，自然人参与的提供其身份证明；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或单位负责人授权书及被授权人身份证：（2）供应商应授权合法的人员参加投标，其中法定代表人直接参加的，须出具身份证，并与营业执照上信息一致；被授权代表参加的，须出具法定代表人授权书及被授权人身份证；（非法人单位的负责人均参照执行）；</w:t>
      </w:r>
    </w:p>
    <w:p>
      <w:pPr>
        <w:pStyle w:val="null3"/>
      </w:pPr>
      <w:r>
        <w:rPr>
          <w:rFonts w:ascii="仿宋_GB2312" w:hAnsi="仿宋_GB2312" w:cs="仿宋_GB2312" w:eastAsia="仿宋_GB2312"/>
        </w:rPr>
        <w:t>3、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3）提供“汉中市政府采购供应商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西乡县中医医院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陕西省汉中市西乡县汉白路3号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周小瑞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0916-6227980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陕西博宇天诚项目管理有限公司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陕西省汉中市汉台区荔枝路智诚雅居2楼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0916-2697988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西乡县政府采购管理股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王文德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13991614866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采购包1：498,000.00元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开户名称：陕西博宇天诚项目管理有限公司</w:t>
            </w:r>
          </w:p>
          <w:p>
            <w:pPr>
              <w:pStyle w:val="null3"/>
            </w:pPr>
            <w:r>
              <w:rPr>
                <w:rFonts w:ascii="仿宋_GB2312" w:hAnsi="仿宋_GB2312" w:cs="仿宋_GB2312" w:eastAsia="仿宋_GB2312"/>
              </w:rPr>
              <w:t>开户银行：长安银行股份有限公司汉中兴元路支行</w:t>
            </w:r>
          </w:p>
          <w:p>
            <w:pPr>
              <w:pStyle w:val="null3"/>
            </w:pPr>
            <w:r>
              <w:rPr>
                <w:rFonts w:ascii="仿宋_GB2312" w:hAnsi="仿宋_GB2312" w:cs="仿宋_GB2312" w:eastAsia="仿宋_GB2312"/>
              </w:rPr>
              <w:t>银行账号：806060601429999888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招标代理服务收费管理暂行办法》和国家发展改革委办公厅（发改办价格【2003】857号）和国家发展改革委（发改价格【2011】534号）文件的相关规定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西乡县中医医院</w:t>
      </w:r>
      <w:r>
        <w:rPr>
          <w:rFonts w:ascii="仿宋_GB2312" w:hAnsi="仿宋_GB2312" w:cs="仿宋_GB2312" w:eastAsia="仿宋_GB2312"/>
        </w:rPr>
        <w:t>和</w:t>
      </w:r>
      <w:r>
        <w:rPr>
          <w:rFonts w:ascii="仿宋_GB2312" w:hAnsi="仿宋_GB2312" w:cs="仿宋_GB2312" w:eastAsia="仿宋_GB2312"/>
        </w:rPr>
        <w:t>陕西博宇天诚项目管理有限公司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西乡县中医医院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陕西博宇天诚项目管理有限公司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西乡县中医医院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陕西博宇天诚项目管理有限公司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以采购人要求及合同约定为准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陕西博宇天诚项目管理有限公司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陕西博宇天诚项目管理有限公司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陕西博宇天诚项目管理有限公司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联系人：杨克</w:t>
      </w:r>
    </w:p>
    <w:p>
      <w:pPr>
        <w:pStyle w:val="null3"/>
      </w:pPr>
      <w:r>
        <w:rPr>
          <w:rFonts w:ascii="仿宋_GB2312" w:hAnsi="仿宋_GB2312" w:cs="仿宋_GB2312" w:eastAsia="仿宋_GB2312"/>
        </w:rPr>
        <w:t>联系电话：0916-2697988</w:t>
      </w:r>
    </w:p>
    <w:p>
      <w:pPr>
        <w:pStyle w:val="null3"/>
      </w:pPr>
      <w:r>
        <w:rPr>
          <w:rFonts w:ascii="仿宋_GB2312" w:hAnsi="仿宋_GB2312" w:cs="仿宋_GB2312" w:eastAsia="仿宋_GB2312"/>
        </w:rPr>
        <w:t>地址：陕西省汉中市汉台区荔枝路智诚雅居2楼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1"/>
        </w:rPr>
        <w:t>1、本项目主要采购内容包括：医保智能审核系统、接口开发服务及质保服务；</w:t>
      </w:r>
    </w:p>
    <w:p>
      <w:pPr>
        <w:pStyle w:val="null3"/>
      </w:pPr>
      <w:r>
        <w:rPr>
          <w:rFonts w:ascii="仿宋_GB2312" w:hAnsi="仿宋_GB2312" w:cs="仿宋_GB2312" w:eastAsia="仿宋_GB2312"/>
          <w:sz w:val="21"/>
        </w:rPr>
        <w:t>2、供应商交付医保智能审核系统需完成与医院现有业务系统（重庆中联HIS、卫宁健康PACS、重庆中联电子病历等）的接口开发、数据互联互通服务；本项费用包含在投标报价中，供应商承担与医院现有业务系统厂家的相关对接工作。医院现有业务系统其他信息可向采购人电话咨询，联系电话15129866869；</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498,000.00</w:t>
      </w:r>
    </w:p>
    <w:p>
      <w:pPr>
        <w:pStyle w:val="null3"/>
      </w:pPr>
      <w:r>
        <w:rPr>
          <w:rFonts w:ascii="仿宋_GB2312" w:hAnsi="仿宋_GB2312" w:cs="仿宋_GB2312" w:eastAsia="仿宋_GB2312"/>
        </w:rPr>
        <w:t>采购包最高限价（元）: 498,000.00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医保智能审核系统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498,000.00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标的名称：医保智能审核系统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73"/>
              <w:gridCol w:w="808"/>
              <w:gridCol w:w="1712"/>
              <w:gridCol w:w="232"/>
              <w:gridCol w:w="256"/>
            </w:tblGrid>
            <w:tr>
              <w:tc>
                <w:tcPr>
                  <w:tcW w:type="dxa" w:w="173"/>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w:t>
                  </w:r>
                </w:p>
                <w:p>
                  <w:pPr>
                    <w:pStyle w:val="null3"/>
                    <w:jc w:val="center"/>
                  </w:pPr>
                  <w:r>
                    <w:rPr>
                      <w:rFonts w:ascii="仿宋_GB2312" w:hAnsi="仿宋_GB2312" w:cs="仿宋_GB2312" w:eastAsia="仿宋_GB2312"/>
                      <w:sz w:val="24"/>
                    </w:rPr>
                    <w:t>号</w:t>
                  </w:r>
                </w:p>
              </w:tc>
              <w:tc>
                <w:tcPr>
                  <w:tcW w:type="dxa" w:w="808"/>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采购内容</w:t>
                  </w:r>
                </w:p>
              </w:tc>
              <w:tc>
                <w:tcPr>
                  <w:tcW w:type="dxa" w:w="1712"/>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主要技术参数</w:t>
                  </w:r>
                </w:p>
              </w:tc>
              <w:tc>
                <w:tcPr>
                  <w:tcW w:type="dxa" w:w="232"/>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256"/>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r>
            <w:tr>
              <w:tc>
                <w:tcPr>
                  <w:tcW w:type="dxa" w:w="17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0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医保智能审核</w:t>
                  </w:r>
                </w:p>
                <w:p>
                  <w:pPr>
                    <w:pStyle w:val="null3"/>
                    <w:jc w:val="center"/>
                  </w:pPr>
                  <w:r>
                    <w:rPr>
                      <w:rFonts w:ascii="仿宋_GB2312" w:hAnsi="仿宋_GB2312" w:cs="仿宋_GB2312" w:eastAsia="仿宋_GB2312"/>
                      <w:sz w:val="24"/>
                      <w:b/>
                    </w:rPr>
                    <w:t>系统</w:t>
                  </w:r>
                  <w:r>
                    <w:rPr>
                      <w:rFonts w:ascii="仿宋_GB2312" w:hAnsi="仿宋_GB2312" w:cs="仿宋_GB2312" w:eastAsia="仿宋_GB2312"/>
                      <w:sz w:val="24"/>
                      <w:b/>
                    </w:rPr>
                    <w:t>——基础规则及管理子系统开发及系统集成</w:t>
                  </w:r>
                </w:p>
              </w:tc>
              <w:tc>
                <w:tcPr>
                  <w:tcW w:type="dxa" w:w="171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系统满足现行审核规则分类管理，按业务类型区分：分为医保药品限制范围、医疗物价合理性等。</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系统应收纳全面的知识库内容，建立医疗合规、临床合理、医保报销等核心知识库，知识库内容包括本地医保管理政策、医保药品报销限制范围、本地物价收费项目等，涵盖了各类医保统筹报销的相关知识；也包含了根据医院医疗费用管控需求而形成的知识库。提供审核规则管理，主要规则编码、规则名称、规则级别、规则数据等；</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系统支持针对医保药品、诊疗项目、医用材料等多种审核规则等，包括但不限于：</w:t>
                  </w:r>
                </w:p>
                <w:p>
                  <w:pPr>
                    <w:pStyle w:val="null3"/>
                    <w:ind w:firstLine="240"/>
                    <w:jc w:val="left"/>
                  </w:pPr>
                  <w:r>
                    <w:rPr>
                      <w:rFonts w:ascii="仿宋_GB2312" w:hAnsi="仿宋_GB2312" w:cs="仿宋_GB2312" w:eastAsia="仿宋_GB2312"/>
                      <w:sz w:val="24"/>
                    </w:rPr>
                    <w:t>(1)重复收费，超标准收费等；</w:t>
                  </w:r>
                </w:p>
                <w:p>
                  <w:pPr>
                    <w:pStyle w:val="null3"/>
                    <w:ind w:firstLine="240"/>
                    <w:jc w:val="left"/>
                  </w:pPr>
                  <w:r>
                    <w:rPr>
                      <w:rFonts w:ascii="仿宋_GB2312" w:hAnsi="仿宋_GB2312" w:cs="仿宋_GB2312" w:eastAsia="仿宋_GB2312"/>
                      <w:sz w:val="24"/>
                    </w:rPr>
                    <w:t>(2)中药饮片审核;</w:t>
                  </w:r>
                </w:p>
                <w:p>
                  <w:pPr>
                    <w:pStyle w:val="null3"/>
                    <w:ind w:firstLine="240"/>
                    <w:jc w:val="left"/>
                  </w:pPr>
                  <w:r>
                    <w:rPr>
                      <w:rFonts w:ascii="仿宋_GB2312" w:hAnsi="仿宋_GB2312" w:cs="仿宋_GB2312" w:eastAsia="仿宋_GB2312"/>
                      <w:sz w:val="24"/>
                    </w:rPr>
                    <w:t>(3)超临床常规治疗频次;</w:t>
                  </w:r>
                </w:p>
                <w:p>
                  <w:pPr>
                    <w:pStyle w:val="null3"/>
                    <w:ind w:firstLine="240"/>
                    <w:jc w:val="left"/>
                  </w:pPr>
                  <w:r>
                    <w:rPr>
                      <w:rFonts w:ascii="仿宋_GB2312" w:hAnsi="仿宋_GB2312" w:cs="仿宋_GB2312" w:eastAsia="仿宋_GB2312"/>
                      <w:sz w:val="24"/>
                    </w:rPr>
                    <w:t>(4)非基本医疗保险目录;</w:t>
                  </w:r>
                </w:p>
                <w:p>
                  <w:pPr>
                    <w:pStyle w:val="null3"/>
                    <w:ind w:firstLine="240"/>
                    <w:jc w:val="left"/>
                  </w:pPr>
                  <w:r>
                    <w:rPr>
                      <w:rFonts w:ascii="仿宋_GB2312" w:hAnsi="仿宋_GB2312" w:cs="仿宋_GB2312" w:eastAsia="仿宋_GB2312"/>
                      <w:sz w:val="24"/>
                    </w:rPr>
                    <w:t>(5)限定性别审核;</w:t>
                  </w:r>
                </w:p>
                <w:p>
                  <w:pPr>
                    <w:pStyle w:val="null3"/>
                    <w:ind w:firstLine="240"/>
                    <w:jc w:val="left"/>
                  </w:pPr>
                  <w:r>
                    <w:rPr>
                      <w:rFonts w:ascii="仿宋_GB2312" w:hAnsi="仿宋_GB2312" w:cs="仿宋_GB2312" w:eastAsia="仿宋_GB2312"/>
                      <w:sz w:val="24"/>
                    </w:rPr>
                    <w:t>(6)限儿童;</w:t>
                  </w:r>
                </w:p>
                <w:p>
                  <w:pPr>
                    <w:pStyle w:val="null3"/>
                    <w:ind w:firstLine="240"/>
                    <w:jc w:val="left"/>
                  </w:pPr>
                  <w:r>
                    <w:rPr>
                      <w:rFonts w:ascii="仿宋_GB2312" w:hAnsi="仿宋_GB2312" w:cs="仿宋_GB2312" w:eastAsia="仿宋_GB2312"/>
                      <w:sz w:val="24"/>
                    </w:rPr>
                    <w:t>(7)超限定数量;</w:t>
                  </w:r>
                </w:p>
                <w:p>
                  <w:pPr>
                    <w:pStyle w:val="null3"/>
                    <w:ind w:firstLine="240"/>
                    <w:jc w:val="left"/>
                  </w:pPr>
                  <w:r>
                    <w:rPr>
                      <w:rFonts w:ascii="仿宋_GB2312" w:hAnsi="仿宋_GB2312" w:cs="仿宋_GB2312" w:eastAsia="仿宋_GB2312"/>
                      <w:sz w:val="24"/>
                    </w:rPr>
                    <w:t>(8)超限定价格;</w:t>
                  </w:r>
                </w:p>
                <w:p>
                  <w:pPr>
                    <w:pStyle w:val="null3"/>
                    <w:ind w:firstLine="240"/>
                    <w:jc w:val="left"/>
                  </w:pPr>
                  <w:r>
                    <w:rPr>
                      <w:rFonts w:ascii="仿宋_GB2312" w:hAnsi="仿宋_GB2312" w:cs="仿宋_GB2312" w:eastAsia="仿宋_GB2312"/>
                      <w:sz w:val="24"/>
                    </w:rPr>
                    <w:t>(9)限定医院类型级别;</w:t>
                  </w:r>
                </w:p>
                <w:p>
                  <w:pPr>
                    <w:pStyle w:val="null3"/>
                    <w:ind w:firstLine="240"/>
                    <w:jc w:val="left"/>
                  </w:pPr>
                  <w:r>
                    <w:rPr>
                      <w:rFonts w:ascii="仿宋_GB2312" w:hAnsi="仿宋_GB2312" w:cs="仿宋_GB2312" w:eastAsia="仿宋_GB2312"/>
                      <w:sz w:val="24"/>
                    </w:rPr>
                    <w:t>(10)限定就医方式;</w:t>
                  </w:r>
                </w:p>
                <w:p>
                  <w:pPr>
                    <w:pStyle w:val="null3"/>
                    <w:ind w:firstLine="240"/>
                    <w:jc w:val="left"/>
                  </w:pPr>
                  <w:r>
                    <w:rPr>
                      <w:rFonts w:ascii="仿宋_GB2312" w:hAnsi="仿宋_GB2312" w:cs="仿宋_GB2312" w:eastAsia="仿宋_GB2312"/>
                      <w:sz w:val="24"/>
                    </w:rPr>
                    <w:t>(11)分解住院;</w:t>
                  </w:r>
                </w:p>
                <w:p>
                  <w:pPr>
                    <w:pStyle w:val="null3"/>
                    <w:ind w:firstLine="240"/>
                    <w:jc w:val="left"/>
                  </w:pPr>
                  <w:r>
                    <w:rPr>
                      <w:rFonts w:ascii="仿宋_GB2312" w:hAnsi="仿宋_GB2312" w:cs="仿宋_GB2312" w:eastAsia="仿宋_GB2312"/>
                      <w:sz w:val="24"/>
                    </w:rPr>
                    <w:t>(12)超限定频次;</w:t>
                  </w:r>
                </w:p>
                <w:p>
                  <w:pPr>
                    <w:pStyle w:val="null3"/>
                    <w:ind w:firstLine="240"/>
                    <w:jc w:val="left"/>
                  </w:pPr>
                  <w:r>
                    <w:rPr>
                      <w:rFonts w:ascii="仿宋_GB2312" w:hAnsi="仿宋_GB2312" w:cs="仿宋_GB2312" w:eastAsia="仿宋_GB2312"/>
                      <w:sz w:val="24"/>
                    </w:rPr>
                    <w:t>(13)违反项目匹配;</w:t>
                  </w:r>
                </w:p>
                <w:p>
                  <w:pPr>
                    <w:pStyle w:val="null3"/>
                    <w:ind w:firstLine="240"/>
                    <w:jc w:val="left"/>
                  </w:pPr>
                  <w:r>
                    <w:rPr>
                      <w:rFonts w:ascii="仿宋_GB2312" w:hAnsi="仿宋_GB2312" w:cs="仿宋_GB2312" w:eastAsia="仿宋_GB2312"/>
                      <w:sz w:val="24"/>
                    </w:rPr>
                    <w:t>(14)违反限定适应症(条件)用药；</w:t>
                  </w:r>
                </w:p>
                <w:p>
                  <w:pPr>
                    <w:pStyle w:val="null3"/>
                    <w:ind w:left="330"/>
                    <w:jc w:val="left"/>
                  </w:pPr>
                  <w:r>
                    <w:rPr>
                      <w:rFonts w:ascii="仿宋_GB2312" w:hAnsi="仿宋_GB2312" w:cs="仿宋_GB2312" w:eastAsia="仿宋_GB2312"/>
                      <w:sz w:val="24"/>
                    </w:rPr>
                    <w:t>（</w:t>
                  </w:r>
                  <w:r>
                    <w:rPr>
                      <w:rFonts w:ascii="仿宋_GB2312" w:hAnsi="仿宋_GB2312" w:cs="仿宋_GB2312" w:eastAsia="仿宋_GB2312"/>
                      <w:sz w:val="24"/>
                    </w:rPr>
                    <w:t>15）限限制险种类型规则；（16）限制患者诊断规则.</w:t>
                  </w:r>
                </w:p>
                <w:p>
                  <w:pPr>
                    <w:pStyle w:val="null3"/>
                    <w:jc w:val="left"/>
                  </w:pPr>
                  <w:r>
                    <w:rPr>
                      <w:rFonts w:ascii="仿宋_GB2312" w:hAnsi="仿宋_GB2312" w:cs="仿宋_GB2312" w:eastAsia="仿宋_GB2312"/>
                      <w:sz w:val="24"/>
                    </w:rPr>
                    <w:t>3、系统支持针对采购人所在省、市医疗收费目录中对医用材料与治疗项目一致性的审核；</w:t>
                  </w:r>
                </w:p>
                <w:p>
                  <w:pPr>
                    <w:pStyle w:val="null3"/>
                    <w:jc w:val="both"/>
                  </w:pPr>
                  <w:r>
                    <w:rPr>
                      <w:rFonts w:ascii="仿宋_GB2312" w:hAnsi="仿宋_GB2312" w:cs="仿宋_GB2312" w:eastAsia="仿宋_GB2312"/>
                      <w:sz w:val="24"/>
                    </w:rPr>
                    <w:t>4、系统支持</w:t>
                  </w:r>
                  <w:r>
                    <w:rPr>
                      <w:rFonts w:ascii="仿宋_GB2312" w:hAnsi="仿宋_GB2312" w:cs="仿宋_GB2312" w:eastAsia="仿宋_GB2312"/>
                      <w:sz w:val="24"/>
                    </w:rPr>
                    <w:t>根据政策变化进行更新。</w:t>
                  </w:r>
                </w:p>
                <w:p>
                  <w:pPr>
                    <w:pStyle w:val="null3"/>
                    <w:jc w:val="left"/>
                  </w:pPr>
                  <w:r>
                    <w:rPr>
                      <w:rFonts w:ascii="仿宋_GB2312" w:hAnsi="仿宋_GB2312" w:cs="仿宋_GB2312" w:eastAsia="仿宋_GB2312"/>
                      <w:sz w:val="24"/>
                    </w:rPr>
                    <w:t>5、系统</w:t>
                  </w:r>
                  <w:r>
                    <w:rPr>
                      <w:rFonts w:ascii="仿宋_GB2312" w:hAnsi="仿宋_GB2312" w:cs="仿宋_GB2312" w:eastAsia="仿宋_GB2312"/>
                      <w:sz w:val="24"/>
                    </w:rPr>
                    <w:t>支持采购人按照实际业务需求，</w:t>
                  </w:r>
                  <w:r>
                    <w:rPr>
                      <w:rFonts w:ascii="仿宋_GB2312" w:hAnsi="仿宋_GB2312" w:cs="仿宋_GB2312" w:eastAsia="仿宋_GB2312"/>
                      <w:sz w:val="24"/>
                    </w:rPr>
                    <w:t>设定</w:t>
                  </w:r>
                  <w:r>
                    <w:rPr>
                      <w:rFonts w:ascii="仿宋_GB2312" w:hAnsi="仿宋_GB2312" w:cs="仿宋_GB2312" w:eastAsia="仿宋_GB2312"/>
                      <w:sz w:val="24"/>
                    </w:rPr>
                    <w:t>“审核规则逻辑”和“规则明细”，即配即用，满足临床多变、复杂的应用需求并支持根据医保审核规则的变化不断维护更新完善。</w:t>
                  </w:r>
                </w:p>
              </w:tc>
              <w:tc>
                <w:tcPr>
                  <w:tcW w:type="dxa" w:w="23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5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7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0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医保智能审核</w:t>
                  </w:r>
                </w:p>
                <w:p>
                  <w:pPr>
                    <w:pStyle w:val="null3"/>
                    <w:jc w:val="center"/>
                  </w:pPr>
                  <w:r>
                    <w:rPr>
                      <w:rFonts w:ascii="仿宋_GB2312" w:hAnsi="仿宋_GB2312" w:cs="仿宋_GB2312" w:eastAsia="仿宋_GB2312"/>
                      <w:sz w:val="24"/>
                      <w:b/>
                    </w:rPr>
                    <w:t>系统</w:t>
                  </w:r>
                  <w:r>
                    <w:rPr>
                      <w:rFonts w:ascii="仿宋_GB2312" w:hAnsi="仿宋_GB2312" w:cs="仿宋_GB2312" w:eastAsia="仿宋_GB2312"/>
                      <w:sz w:val="24"/>
                      <w:b/>
                    </w:rPr>
                    <w:t>——</w:t>
                  </w:r>
                  <w:r>
                    <w:rPr>
                      <w:rFonts w:ascii="仿宋_GB2312" w:hAnsi="仿宋_GB2312" w:cs="仿宋_GB2312" w:eastAsia="仿宋_GB2312"/>
                      <w:sz w:val="24"/>
                      <w:b/>
                    </w:rPr>
                    <w:t>事前预警</w:t>
                  </w:r>
                  <w:r>
                    <w:rPr>
                      <w:rFonts w:ascii="仿宋_GB2312" w:hAnsi="仿宋_GB2312" w:cs="仿宋_GB2312" w:eastAsia="仿宋_GB2312"/>
                      <w:sz w:val="24"/>
                      <w:b/>
                    </w:rPr>
                    <w:t>子系统开发及系统集成</w:t>
                  </w:r>
                </w:p>
              </w:tc>
              <w:tc>
                <w:tcPr>
                  <w:tcW w:type="dxa" w:w="171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1、门诊医生模块： 支持在医生为病人开据处方过程中，及时根据病人就诊信息和诊疗信息进行诊疗合规性和规范性分析，为医生开据处方提供决策支持。</w:t>
                  </w:r>
                </w:p>
                <w:p>
                  <w:pPr>
                    <w:pStyle w:val="null3"/>
                    <w:jc w:val="both"/>
                  </w:pPr>
                  <w:r>
                    <w:rPr>
                      <w:rFonts w:ascii="仿宋_GB2312" w:hAnsi="仿宋_GB2312" w:cs="仿宋_GB2312" w:eastAsia="仿宋_GB2312"/>
                      <w:sz w:val="24"/>
                    </w:rPr>
                    <w:t>2、住院医生模块：具备门诊医生模块全部功能，同时还支持根据病人基本信息（性别、年龄、过敏史等）以及诊断、检查/检验、手术以及医院配置的审核规则等信息，对医生所开具的病人医嘱进行综合合规性和规范性检查。</w:t>
                  </w:r>
                </w:p>
                <w:p>
                  <w:pPr>
                    <w:pStyle w:val="null3"/>
                  </w:pPr>
                  <w:r>
                    <w:rPr>
                      <w:rFonts w:ascii="仿宋_GB2312" w:hAnsi="仿宋_GB2312" w:cs="仿宋_GB2312" w:eastAsia="仿宋_GB2312"/>
                      <w:sz w:val="24"/>
                    </w:rPr>
                    <w:t>3、预警审核模块：在医师开具医嘱过程中，智能审核服务引擎会根据参保人的历史就诊信息检查该医嘱是否符合医保、诊疗、价格等政策规定，对医嘱进行合规性审核。根据规则分级，为医院提供多种处理方式：包括提醒、强制阻断等。</w:t>
                  </w:r>
                </w:p>
              </w:tc>
              <w:tc>
                <w:tcPr>
                  <w:tcW w:type="dxa" w:w="23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5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7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0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医保智能审核</w:t>
                  </w:r>
                </w:p>
                <w:p>
                  <w:pPr>
                    <w:pStyle w:val="null3"/>
                    <w:jc w:val="center"/>
                  </w:pPr>
                  <w:r>
                    <w:rPr>
                      <w:rFonts w:ascii="仿宋_GB2312" w:hAnsi="仿宋_GB2312" w:cs="仿宋_GB2312" w:eastAsia="仿宋_GB2312"/>
                      <w:sz w:val="24"/>
                      <w:b/>
                    </w:rPr>
                    <w:t>系统</w:t>
                  </w:r>
                  <w:r>
                    <w:rPr>
                      <w:rFonts w:ascii="仿宋_GB2312" w:hAnsi="仿宋_GB2312" w:cs="仿宋_GB2312" w:eastAsia="仿宋_GB2312"/>
                      <w:sz w:val="24"/>
                      <w:b/>
                    </w:rPr>
                    <w:t>——</w:t>
                  </w:r>
                  <w:r>
                    <w:rPr>
                      <w:rFonts w:ascii="仿宋_GB2312" w:hAnsi="仿宋_GB2312" w:cs="仿宋_GB2312" w:eastAsia="仿宋_GB2312"/>
                      <w:sz w:val="24"/>
                      <w:b/>
                    </w:rPr>
                    <w:t>审核场景</w:t>
                  </w:r>
                  <w:r>
                    <w:rPr>
                      <w:rFonts w:ascii="仿宋_GB2312" w:hAnsi="仿宋_GB2312" w:cs="仿宋_GB2312" w:eastAsia="仿宋_GB2312"/>
                      <w:sz w:val="24"/>
                      <w:b/>
                    </w:rPr>
                    <w:t>子系统开发及系统集成</w:t>
                  </w:r>
                </w:p>
              </w:tc>
              <w:tc>
                <w:tcPr>
                  <w:tcW w:type="dxa" w:w="171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1、门诊医生站模块：支持门诊处方事前审核，在门诊医生开处方时进行审核，确保门诊处方合规性，减少不合理用药，降低医保扣款分险。</w:t>
                  </w:r>
                </w:p>
                <w:p>
                  <w:pPr>
                    <w:pStyle w:val="null3"/>
                    <w:jc w:val="both"/>
                  </w:pPr>
                  <w:r>
                    <w:rPr>
                      <w:rFonts w:ascii="仿宋_GB2312" w:hAnsi="仿宋_GB2312" w:cs="仿宋_GB2312" w:eastAsia="仿宋_GB2312"/>
                      <w:sz w:val="24"/>
                    </w:rPr>
                    <w:t>2、门诊收费处模块：支持在门诊收费时，对门诊统筹患者进行费用审核，保障门诊结算数据准确性。</w:t>
                  </w:r>
                </w:p>
                <w:p>
                  <w:pPr>
                    <w:pStyle w:val="null3"/>
                    <w:jc w:val="both"/>
                  </w:pPr>
                  <w:r>
                    <w:rPr>
                      <w:rFonts w:ascii="仿宋_GB2312" w:hAnsi="仿宋_GB2312" w:cs="仿宋_GB2312" w:eastAsia="仿宋_GB2312"/>
                      <w:sz w:val="24"/>
                    </w:rPr>
                    <w:t>3、住院医生站模块：支持对医生开具的药品/检查/治疗医嘱是否符合医保目录范围、是否存在超限定数量、是否存在重复收费等问题进行事前审核，降低医保扣款风险。</w:t>
                  </w:r>
                </w:p>
                <w:p>
                  <w:pPr>
                    <w:pStyle w:val="null3"/>
                    <w:jc w:val="both"/>
                  </w:pPr>
                  <w:r>
                    <w:rPr>
                      <w:rFonts w:ascii="仿宋_GB2312" w:hAnsi="仿宋_GB2312" w:cs="仿宋_GB2312" w:eastAsia="仿宋_GB2312"/>
                      <w:sz w:val="24"/>
                    </w:rPr>
                    <w:t>4、住院每日费用审核模块：支持每日自动核查住院患者前一日产生的各项费用，医护人员可以通过点击按钮查看各患者审核结果；支持针对长期医嘱系统后台滚动计费的项目进行审核，例如，对应查询当前是否有项目超频次、药品超诊疗天数等违规，如有违规收费，可及时修正，根据系统提示处理不合理收费行为。</w:t>
                  </w:r>
                </w:p>
                <w:p>
                  <w:pPr>
                    <w:pStyle w:val="null3"/>
                    <w:jc w:val="both"/>
                  </w:pPr>
                  <w:r>
                    <w:rPr>
                      <w:rFonts w:ascii="仿宋_GB2312" w:hAnsi="仿宋_GB2312" w:cs="仿宋_GB2312" w:eastAsia="仿宋_GB2312"/>
                      <w:sz w:val="24"/>
                    </w:rPr>
                    <w:t>5、住院护士站转科室审核模块：支持在患者转科时自动审核患者费用，将截止转科前患者的所有费用通过医保规则审核引擎进行费用审核，将费用的违规情况拦截在转科之前。</w:t>
                  </w:r>
                </w:p>
                <w:p>
                  <w:pPr>
                    <w:pStyle w:val="null3"/>
                    <w:jc w:val="both"/>
                  </w:pPr>
                  <w:r>
                    <w:rPr>
                      <w:rFonts w:ascii="仿宋_GB2312" w:hAnsi="仿宋_GB2312" w:cs="仿宋_GB2312" w:eastAsia="仿宋_GB2312"/>
                      <w:sz w:val="24"/>
                    </w:rPr>
                    <w:t>6、住院护士站出院审核模块：支持在患者出院流程中，自动审核弹出，确保患者诊疗行为整体合规，避免过度治疗或违反医保规则，降低医保基金不合理支出风险。</w:t>
                  </w:r>
                </w:p>
                <w:p>
                  <w:pPr>
                    <w:pStyle w:val="null3"/>
                    <w:jc w:val="both"/>
                  </w:pPr>
                  <w:r>
                    <w:rPr>
                      <w:rFonts w:ascii="仿宋_GB2312" w:hAnsi="仿宋_GB2312" w:cs="仿宋_GB2312" w:eastAsia="仿宋_GB2312"/>
                      <w:sz w:val="24"/>
                    </w:rPr>
                    <w:t>7、出院结算审核模块：支持在收费结算前，最后一次对患者费用进行审核，保障费用结算符合医保政策，提升结算数据准确性。</w:t>
                  </w:r>
                </w:p>
              </w:tc>
              <w:tc>
                <w:tcPr>
                  <w:tcW w:type="dxa" w:w="23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5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7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0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医保智能审核</w:t>
                  </w:r>
                </w:p>
                <w:p>
                  <w:pPr>
                    <w:pStyle w:val="null3"/>
                    <w:jc w:val="center"/>
                  </w:pPr>
                  <w:r>
                    <w:rPr>
                      <w:rFonts w:ascii="仿宋_GB2312" w:hAnsi="仿宋_GB2312" w:cs="仿宋_GB2312" w:eastAsia="仿宋_GB2312"/>
                      <w:sz w:val="24"/>
                      <w:b/>
                    </w:rPr>
                    <w:t>系统</w:t>
                  </w:r>
                  <w:r>
                    <w:rPr>
                      <w:rFonts w:ascii="仿宋_GB2312" w:hAnsi="仿宋_GB2312" w:cs="仿宋_GB2312" w:eastAsia="仿宋_GB2312"/>
                      <w:sz w:val="24"/>
                      <w:b/>
                    </w:rPr>
                    <w:t>——</w:t>
                  </w:r>
                  <w:r>
                    <w:rPr>
                      <w:rFonts w:ascii="仿宋_GB2312" w:hAnsi="仿宋_GB2312" w:cs="仿宋_GB2312" w:eastAsia="仿宋_GB2312"/>
                      <w:sz w:val="24"/>
                      <w:b/>
                    </w:rPr>
                    <w:t>管理端</w:t>
                  </w:r>
                  <w:r>
                    <w:rPr>
                      <w:rFonts w:ascii="仿宋_GB2312" w:hAnsi="仿宋_GB2312" w:cs="仿宋_GB2312" w:eastAsia="仿宋_GB2312"/>
                      <w:sz w:val="24"/>
                      <w:b/>
                    </w:rPr>
                    <w:t>子系统开发及系统集成</w:t>
                  </w:r>
                </w:p>
              </w:tc>
              <w:tc>
                <w:tcPr>
                  <w:tcW w:type="dxa" w:w="171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1、管理模块需具备以下功能：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1）支持查看并导出对医院审核结果、违规情况；支持分门诊、住院、科室、单个项目、违规医生等不同维度查看结果并导出报表。</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2）支持系统提供灵活的违规费用分析、违反规则分析及功能，为医院对审核中存在的问题进行针对性地改善和提高提供数据依据。</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3）支持设置医嘱中触发部分规则，需要强制医生填写超限使用原因后允许保存，然后再执行，并可以生成报表，以应对大型检查。</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4）支持按照收费项目或者新增的规则导出不少于2年的历史数据，以应对大型检查。</w:t>
                  </w:r>
                </w:p>
              </w:tc>
              <w:tc>
                <w:tcPr>
                  <w:tcW w:type="dxa" w:w="23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5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7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0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接口开发服务</w:t>
                  </w:r>
                </w:p>
              </w:tc>
              <w:tc>
                <w:tcPr>
                  <w:tcW w:type="dxa" w:w="171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供应商交付医保智能审核系统与医院现有业务系统（重庆中联HIS、卫宁健康PACS、重庆中联电子病历等）的接口开发、数据互联互通服务；本项费用包含在投标报价中，供应商承担与医院现有业务系统厂家的相关对接工作。</w:t>
                  </w:r>
                </w:p>
              </w:tc>
              <w:tc>
                <w:tcPr>
                  <w:tcW w:type="dxa" w:w="23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项</w:t>
                  </w:r>
                </w:p>
              </w:tc>
              <w:tc>
                <w:tcPr>
                  <w:tcW w:type="dxa" w:w="25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7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80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质保服务</w:t>
                  </w:r>
                </w:p>
              </w:tc>
              <w:tc>
                <w:tcPr>
                  <w:tcW w:type="dxa" w:w="171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4"/>
                      <w:b/>
                    </w:rPr>
                    <w:t>1、</w:t>
                  </w:r>
                  <w:r>
                    <w:rPr>
                      <w:rFonts w:ascii="仿宋_GB2312" w:hAnsi="仿宋_GB2312" w:cs="仿宋_GB2312" w:eastAsia="仿宋_GB2312"/>
                      <w:sz w:val="24"/>
                      <w:b/>
                    </w:rPr>
                    <w:t>系统交付上线后，供应商委派不少于</w:t>
                  </w:r>
                  <w:r>
                    <w:rPr>
                      <w:rFonts w:ascii="仿宋_GB2312" w:hAnsi="仿宋_GB2312" w:cs="仿宋_GB2312" w:eastAsia="仿宋_GB2312"/>
                      <w:sz w:val="24"/>
                      <w:b/>
                    </w:rPr>
                    <w:t>1名软件工程师在医院驻场提供技术支持服务，服务时间不少于3个月。</w:t>
                  </w:r>
                </w:p>
                <w:p>
                  <w:pPr>
                    <w:pStyle w:val="null3"/>
                    <w:spacing w:before="105" w:after="105"/>
                    <w:jc w:val="left"/>
                  </w:pPr>
                  <w:r>
                    <w:rPr>
                      <w:rFonts w:ascii="仿宋_GB2312" w:hAnsi="仿宋_GB2312" w:cs="仿宋_GB2312" w:eastAsia="仿宋_GB2312"/>
                      <w:sz w:val="24"/>
                    </w:rPr>
                    <w:t>2、提供 2年免费售后服务（包括但不限于维保服务、巡检服务、人员培训等，具体以采购人要求为准）</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b/>
                    </w:rPr>
                    <w:t>质保期内配合采购人完成相关自查自纠工作，协助医院完成飞检申诉等。</w:t>
                  </w:r>
                </w:p>
                <w:p>
                  <w:pPr>
                    <w:pStyle w:val="null3"/>
                    <w:jc w:val="both"/>
                  </w:pPr>
                  <w:r>
                    <w:rPr>
                      <w:rFonts w:ascii="仿宋_GB2312" w:hAnsi="仿宋_GB2312" w:cs="仿宋_GB2312" w:eastAsia="仿宋_GB2312"/>
                      <w:sz w:val="24"/>
                    </w:rPr>
                    <w:t>4、质保期满，提供终身技术支持服务，</w:t>
                  </w:r>
                  <w:r>
                    <w:rPr>
                      <w:rFonts w:ascii="仿宋_GB2312" w:hAnsi="仿宋_GB2312" w:cs="仿宋_GB2312" w:eastAsia="仿宋_GB2312"/>
                      <w:sz w:val="24"/>
                      <w:b/>
                    </w:rPr>
                    <w:t>年维保费不超过投标报价组成中软件系统部分占比金额的</w:t>
                  </w:r>
                  <w:r>
                    <w:rPr>
                      <w:rFonts w:ascii="仿宋_GB2312" w:hAnsi="仿宋_GB2312" w:cs="仿宋_GB2312" w:eastAsia="仿宋_GB2312"/>
                      <w:sz w:val="24"/>
                      <w:b/>
                    </w:rPr>
                    <w:t>3.0%</w:t>
                  </w:r>
                </w:p>
              </w:tc>
              <w:tc>
                <w:tcPr>
                  <w:tcW w:type="dxa" w:w="23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年</w:t>
                  </w:r>
                </w:p>
              </w:tc>
              <w:tc>
                <w:tcPr>
                  <w:tcW w:type="dxa" w:w="25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bl>
          <w:p>
            <w:pPr>
              <w:pStyle w:val="null3"/>
              <w:jc w:val="left"/>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系统交付上线后，供应商委派不少于1名软件工程师在医院驻场提供技术支持服务，服务时间不少于3个月</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供应商根据招标文件要求及自身履约需要自行确定。</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1、供应商投标系统模块名称可与招标文件出现不同，但应满足对应功能需求； 2、质保期满，提供终身技术支持服务，年维保费不超过投标报价组成中软件系统部分占比金额的3.0%。（供应商在投标技术参数响应表中必须进行准确的数值响应）</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合同签订后30个日历日内完成开发、调试、测试并上线试运行。</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采购人指定地点（汉中市西乡县等）</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按招标文件要求、投标文件承诺完成产品及服务交付，并通过采购人验收。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合同签订，按合同要求完成产品交付，系统按时上线、正常运行7日</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乙方完成交付系统，经采购人初步验收合格且正常运行6个月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乙方完成交付系统，经采购人初步验收合格且正常运行12个月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双方友好协商，协商不成的双方均可向采购人所在地人民法院进行诉讼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1、质保期满，供应商提供终身技术支持服务，年维保费不超过投标报价组成中软件系统部分占比金额的3.0%。（供应商在投标技术参数响应表中必须进行准确的数值响应） 2、接口开发服务的具体数量等均以项目实际需要及采购人要求为准，本项费用包含在投标报价中，供应商承担与医院现有业务系统厂家的相关对接工作。 3、系统交付上线后，供应商委派的软件工程师在医院驻场期间需保持稳定，未经采购人同意不得进行更换。 4、服务承诺： 4.1乙方需配备专职人员提供免费远程运维+现场免费运维服务及免费售后服务，期限自项目验收合格之日起计算，免费运维期满后，乙方应继续向甲方提供技术服务。 4.2免费运维期内提供免费技术支持、系统维护、软件升级、补丁程序、最新 版本程序、故障检测、故障修复、性能优化、功能完善等。 4.3售后服务响应时间及维护承诺。自项目投入正式运行和在免费服务期内，系统出现故障时，乙方应7×24小时服务响应，维护工程师现场处理系统故障； 及时现场解决并做出故障处理报告。 4.4 系统软件验收前和质量保修期期内的任何时候，要求供应商对软件 功能作不违背合同总体要求的适当的修改，以满足采购人运营管理的需要，而供应商并不得籍此要求增加费用或延长服务期。 4.5在系统使用周期内，如果由于技术的发展与进步而引起软件版本的 变化，供应商必须免费对软件升级，并提出正式书面报告交采购人批准认可。供应商不得擅自变更采购人已经认可的任何资料。 4.6免费质量保修期(含维保服务) 时间从验收合格之日起计算。 4.7 质量保修期内(含质量保修期的维保服务),系统的任何技术、 质量问题而产生故障影响正常运转，以及采购人无法处理的问题，供应商 均应免费提供售后服务、及时解决系统存在的各种问题。 4.8 在质量保修期内，供应商必须对系统做定期检查和维护。 4.9质保期内提供数据分析服务和飞检预审服务，分析医院病案首页质控，病组结构，学科建设费用成本分析等存在问题，并 配合医务科、质控科、医保科、信息科下沉至临床科室进行软件系统应用培训，包括但不限于编码培训、 DRG 数据分析及系统操作等，提供后续决策依据。若采购方对his 、电子病历等系统进行更换，供应商因提供免费部署的服务(包含与相应系统进行对接)。 4.10 在质量保修期结束前，由供应商和采购人进行一次全面检查，任何缺陷必须由供应商负责修复。 4.11终身维修指：乙方对所售产品提供终身维修维护等技术服务。如果因为该产品生产年限过长，零配件无法供应，维修方案将与用户协商解决。供应商应提供固定的技术支持联系渠道(地址、电话),如有 变化应及时书面通知采购人。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供应商参加政府采购活动，应当具备下列条件： 1.具有独立承担民事责任的能力。 2. 具有良好的商业信誉和健全的财务会计制度。 3. 具有履行合同所必需的设备和专业技术能力。 4. 有依法缴纳税收和社会保障资金的良好记录。 5. 参加政府采购活动前三年内，在经营活动中没有重大违法记录。 6. 法律、行政法规规定的其他条件。 采购人可以根据采购项目的特殊要求，规定供应商的特定条件，但不得以不合理的条件对供应商实行差别待遇或者歧视待遇。供应商需在项目电子化交易系统中按要求填写《投标函》完成承诺并进行电子签章。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特定资格要求3--汉中市政府采购供应商资格承诺函-响应格式.docx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特定资格要求1--主体资格-响应格式.docx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法定代表人或单位负责人授权书及被授权人身份证</w:t>
            </w:r>
          </w:p>
        </w:tc>
        <w:tc>
          <w:tcPr>
            <w:tcW w:type="dxa" w:w="3322"/>
          </w:tcPr>
          <w:p>
            <w:pPr>
              <w:pStyle w:val="null3"/>
            </w:pPr>
            <w:r>
              <w:rPr>
                <w:rFonts w:ascii="仿宋_GB2312" w:hAnsi="仿宋_GB2312" w:cs="仿宋_GB2312" w:eastAsia="仿宋_GB2312"/>
              </w:rPr>
              <w:t>（2）供应商应授权合法的人员参加投标，其中法定代表人直接参加的，须出具身份证，并与营业执照上信息一致；被授权代表参加的，须出具法定代表人授权书及被授权人身份证；（非法人单位的负责人均参照执行）；</w:t>
            </w:r>
          </w:p>
        </w:tc>
        <w:tc>
          <w:tcPr>
            <w:tcW w:type="dxa" w:w="1661"/>
          </w:tcPr>
          <w:p>
            <w:pPr>
              <w:pStyle w:val="null3"/>
            </w:pPr>
            <w:r>
              <w:rPr>
                <w:rFonts w:ascii="仿宋_GB2312" w:hAnsi="仿宋_GB2312" w:cs="仿宋_GB2312" w:eastAsia="仿宋_GB2312"/>
              </w:rPr>
              <w:t>特定资格要求2--法人身份证明、授权委托书-响应格式.docx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w:t>
            </w:r>
          </w:p>
        </w:tc>
        <w:tc>
          <w:tcPr>
            <w:tcW w:type="dxa" w:w="3322"/>
          </w:tcPr>
          <w:p>
            <w:pPr>
              <w:pStyle w:val="null3"/>
            </w:pPr>
            <w:r>
              <w:rPr>
                <w:rFonts w:ascii="仿宋_GB2312" w:hAnsi="仿宋_GB2312" w:cs="仿宋_GB2312" w:eastAsia="仿宋_GB2312"/>
              </w:rPr>
              <w:t>（3）提供“汉中市政府采购供应商资格承诺函”；</w:t>
            </w:r>
          </w:p>
        </w:tc>
        <w:tc>
          <w:tcPr>
            <w:tcW w:type="dxa" w:w="1661"/>
          </w:tcPr>
          <w:p>
            <w:pPr>
              <w:pStyle w:val="null3"/>
            </w:pPr>
            <w:r>
              <w:rPr>
                <w:rFonts w:ascii="仿宋_GB2312" w:hAnsi="仿宋_GB2312" w:cs="仿宋_GB2312" w:eastAsia="仿宋_GB2312"/>
              </w:rPr>
              <w:t>特定资格要求3--汉中市政府采购供应商资格承诺函-响应格式.docx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投标文件格式、盖章、签署、投标商务响应、投标技术响应等符合性审查</w:t>
            </w:r>
          </w:p>
        </w:tc>
        <w:tc>
          <w:tcPr>
            <w:tcW w:type="dxa" w:w="3322"/>
          </w:tcPr>
          <w:p>
            <w:pPr>
              <w:pStyle w:val="null3"/>
            </w:pPr>
            <w:r>
              <w:rPr>
                <w:rFonts w:ascii="仿宋_GB2312" w:hAnsi="仿宋_GB2312" w:cs="仿宋_GB2312" w:eastAsia="仿宋_GB2312"/>
              </w:rPr>
              <w:t>投标文件格式、盖章、签署、投标商务响应、投标技术响应等符合招标文件要求，无重大缺漏项或重大负偏离</w:t>
            </w:r>
          </w:p>
        </w:tc>
        <w:tc>
          <w:tcPr>
            <w:tcW w:type="dxa" w:w="1661"/>
          </w:tcPr>
          <w:p>
            <w:pPr>
              <w:pStyle w:val="null3"/>
            </w:pPr>
            <w:r>
              <w:rPr>
                <w:rFonts w:ascii="仿宋_GB2312" w:hAnsi="仿宋_GB2312" w:cs="仿宋_GB2312" w:eastAsia="仿宋_GB2312"/>
              </w:rPr>
              <w:t>响应文件封面 服务内容及服务邀请应答表 投标报价组成明细表.docx 商务应答表 标的清单</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投标产品的技术参数和功能响应</w:t>
            </w:r>
          </w:p>
        </w:tc>
        <w:tc>
          <w:tcPr>
            <w:tcW w:type="dxa" w:w="2492"/>
          </w:tcPr>
          <w:p>
            <w:pPr>
              <w:pStyle w:val="null3"/>
            </w:pPr>
            <w:r>
              <w:rPr>
                <w:rFonts w:ascii="仿宋_GB2312" w:hAnsi="仿宋_GB2312" w:cs="仿宋_GB2312" w:eastAsia="仿宋_GB2312"/>
              </w:rPr>
              <w:t>完全符合、响应磋商文件要求，没有负偏离，得基准分20.0分； （1）每有一项不满足要求，以20.0分为基础扣2.0分； （2）本项得分扣完为止。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详细评审-1、投标产品的技术参数和功能响应.docx</w:t>
            </w:r>
          </w:p>
        </w:tc>
      </w:tr>
      <w:tr>
        <w:tc>
          <w:tcPr>
            <w:tcW w:type="dxa" w:w="831"/>
            <w:vMerge/>
          </w:tcPr>
          <w:p/>
        </w:tc>
        <w:tc>
          <w:tcPr>
            <w:tcW w:type="dxa" w:w="1661"/>
          </w:tcPr>
          <w:p>
            <w:pPr>
              <w:pStyle w:val="null3"/>
            </w:pPr>
            <w:r>
              <w:rPr>
                <w:rFonts w:ascii="仿宋_GB2312" w:hAnsi="仿宋_GB2312" w:cs="仿宋_GB2312" w:eastAsia="仿宋_GB2312"/>
              </w:rPr>
              <w:t>项目理解及解读</w:t>
            </w:r>
          </w:p>
        </w:tc>
        <w:tc>
          <w:tcPr>
            <w:tcW w:type="dxa" w:w="2492"/>
          </w:tcPr>
          <w:p>
            <w:pPr>
              <w:pStyle w:val="null3"/>
            </w:pPr>
            <w:r>
              <w:rPr>
                <w:rFonts w:ascii="仿宋_GB2312" w:hAnsi="仿宋_GB2312" w:cs="仿宋_GB2312" w:eastAsia="仿宋_GB2312"/>
              </w:rPr>
              <w:t>一、评审内容 针对本项目列明详细的项目理解及解读，内容包括： ①项目基本情况及相关政策解读②专业资料的搜集与内容梳理。 二、赋分标准 1、完整性：方案内容完整全面，对上述各项内容均有描述及说明，得5.0分；每缺1项，以5.0分为基础扣2.5分，扣完为止。 2、针对性：针对性强，得5.0分；针对性一般，得3.0分；缺乏针对性，得1.0分；未按要求进行响应的，得0分。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详细评审-2、项目理解及解读.docx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针对本项目详细说明实施方案，内容包括： ①系统整体设计思路架构方案②接口开发、对接、数据交互服务方案。 二、赋分标准 1、完整性：方案内容完整全面，对上述各项内容均有描述及说明，得3.0分；每缺1项，以3.0分为基础扣1.5分，扣完为止。 2、针对性：针对性强，得3.0分；针对性一般，得2.0分；缺乏针对性，得1.0分；未按要求进行响应的，得0分。 3、可实施性：可实施性强，得4.0分；可实施性一般，得3.0分；缺乏可实施性，得1.0分；未按要求进行响应的，得0分。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详细评审-3、项目实施方案.docx</w:t>
            </w:r>
          </w:p>
        </w:tc>
      </w:tr>
      <w:tr>
        <w:tc>
          <w:tcPr>
            <w:tcW w:type="dxa" w:w="831"/>
            <w:vMerge/>
          </w:tcPr>
          <w:p/>
        </w:tc>
        <w:tc>
          <w:tcPr>
            <w:tcW w:type="dxa" w:w="1661"/>
          </w:tcPr>
          <w:p>
            <w:pPr>
              <w:pStyle w:val="null3"/>
            </w:pPr>
            <w:r>
              <w:rPr>
                <w:rFonts w:ascii="仿宋_GB2312" w:hAnsi="仿宋_GB2312" w:cs="仿宋_GB2312" w:eastAsia="仿宋_GB2312"/>
              </w:rPr>
              <w:t>工期进度保障方案</w:t>
            </w:r>
          </w:p>
        </w:tc>
        <w:tc>
          <w:tcPr>
            <w:tcW w:type="dxa" w:w="2492"/>
          </w:tcPr>
          <w:p>
            <w:pPr>
              <w:pStyle w:val="null3"/>
            </w:pPr>
            <w:r>
              <w:rPr>
                <w:rFonts w:ascii="仿宋_GB2312" w:hAnsi="仿宋_GB2312" w:cs="仿宋_GB2312" w:eastAsia="仿宋_GB2312"/>
              </w:rPr>
              <w:t>一、评审内容 针对本项目提供工期进度保障方案，内容包括： ①合同签订至成果交付全过程的进度安排 ； ② 按期完工的具体保障措施 ； 二、赋分标准 1、完整性：方案内容完整全面，对上述各项内容均有描述及说明，得3.0分；每缺1项，以3.0分为基础扣1.5分，扣完为止。 2、针对性：针对性强，得3.0分；针对性一般，得2.0分；缺乏针对性，得1.0分；未按要求进行响应的，得0分。 3、可实施性：可实施性强，得4.0分；可实施性一般，得3.0分；缺乏可实施性，得1.0分；未按要求进行响应的，得0分。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详细评审-4、工期进度保障方案.docx</w:t>
            </w:r>
          </w:p>
        </w:tc>
      </w:tr>
      <w:tr>
        <w:tc>
          <w:tcPr>
            <w:tcW w:type="dxa" w:w="831"/>
            <w:vMerge/>
          </w:tcPr>
          <w:p/>
        </w:tc>
        <w:tc>
          <w:tcPr>
            <w:tcW w:type="dxa" w:w="1661"/>
          </w:tcPr>
          <w:p>
            <w:pPr>
              <w:pStyle w:val="null3"/>
            </w:pPr>
            <w:r>
              <w:rPr>
                <w:rFonts w:ascii="仿宋_GB2312" w:hAnsi="仿宋_GB2312" w:cs="仿宋_GB2312" w:eastAsia="仿宋_GB2312"/>
              </w:rPr>
              <w:t>售后服务保障方案</w:t>
            </w:r>
          </w:p>
        </w:tc>
        <w:tc>
          <w:tcPr>
            <w:tcW w:type="dxa" w:w="2492"/>
          </w:tcPr>
          <w:p>
            <w:pPr>
              <w:pStyle w:val="null3"/>
            </w:pPr>
            <w:r>
              <w:rPr>
                <w:rFonts w:ascii="仿宋_GB2312" w:hAnsi="仿宋_GB2312" w:cs="仿宋_GB2312" w:eastAsia="仿宋_GB2312"/>
              </w:rPr>
              <w:t>一、评审内容 针对本项目提供售后服务保障方案，内容包括： ①质保期内，系统交付、上线运维期等阶段售后服务具体措施 ； ②质保期外的售后服务承诺及措施（承诺内容必须满足招标文件商务中关于提供终身服务及维保费用标准的要求） ； 二、赋分标准 1、完整性：方案内容完整全面，对上述各项内容均有描述及说明，得3.0分；每缺1项，以3.0分为基础扣1.5分，扣完为止。 2、针对性：针对性强，得3.0分；针对性一般，得2.0分；缺乏针对性，得1.0分；未按要求进行响应的，得0分。 3、可实施性：可实施性强，得4.0分；可实施性一般，得3.0分；缺乏可实施性，得1.0分；未按要求进行响应的，得0分。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详细评审-5、售后服务保障方案.docx</w:t>
            </w:r>
          </w:p>
        </w:tc>
      </w:tr>
      <w:tr>
        <w:tc>
          <w:tcPr>
            <w:tcW w:type="dxa" w:w="831"/>
            <w:vMerge/>
          </w:tcPr>
          <w:p/>
        </w:tc>
        <w:tc>
          <w:tcPr>
            <w:tcW w:type="dxa" w:w="1661"/>
          </w:tcPr>
          <w:p>
            <w:pPr>
              <w:pStyle w:val="null3"/>
            </w:pPr>
            <w:r>
              <w:rPr>
                <w:rFonts w:ascii="仿宋_GB2312" w:hAnsi="仿宋_GB2312" w:cs="仿宋_GB2312" w:eastAsia="仿宋_GB2312"/>
              </w:rPr>
              <w:t>重点难点分析及解决方案</w:t>
            </w:r>
          </w:p>
        </w:tc>
        <w:tc>
          <w:tcPr>
            <w:tcW w:type="dxa" w:w="2492"/>
          </w:tcPr>
          <w:p>
            <w:pPr>
              <w:pStyle w:val="null3"/>
            </w:pPr>
            <w:r>
              <w:rPr>
                <w:rFonts w:ascii="仿宋_GB2312" w:hAnsi="仿宋_GB2312" w:cs="仿宋_GB2312" w:eastAsia="仿宋_GB2312"/>
              </w:rPr>
              <w:t>一、评审内容 针对本项目全履约内容，编制重点难点分析及解决方案，内容包括： ①重点难点分析；②重点难点解决方案； 二、赋分标准 1、完整性：方案内容完整全面，对上述各项内容均有描述及说明，得3.0分；每缺1项，以3.0分为基础扣1.5分，扣完为止。 2、针对性：针对性强，得3.0分；针对性一般，得2.0分；缺乏针对性，得1.0分；未按要求进行响应的，得0分。 3、可实施性：可实施性强，得4.0分；可实施性一般，得3.0分；缺乏可实施性，得1.0分；未按要求进行响应的，得0分。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详细评审-6、重点难点分析及解决方案.docx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投标人提供2022年1月1日以来完成过同类或类似项目合同，每提供一份得2.0分，最高得4.0分； 注：提供加盖单位公章的合同复印件。</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详细评审-7、业绩.docx</w:t>
            </w:r>
          </w:p>
        </w:tc>
      </w:tr>
      <w:tr>
        <w:tc>
          <w:tcPr>
            <w:tcW w:type="dxa" w:w="831"/>
            <w:vMerge/>
          </w:tcPr>
          <w:p/>
        </w:tc>
        <w:tc>
          <w:tcPr>
            <w:tcW w:type="dxa" w:w="1661"/>
          </w:tcPr>
          <w:p>
            <w:pPr>
              <w:pStyle w:val="null3"/>
            </w:pPr>
            <w:r>
              <w:rPr>
                <w:rFonts w:ascii="仿宋_GB2312" w:hAnsi="仿宋_GB2312" w:cs="仿宋_GB2312" w:eastAsia="仿宋_GB2312"/>
              </w:rPr>
              <w:t>人员</w:t>
            </w:r>
          </w:p>
        </w:tc>
        <w:tc>
          <w:tcPr>
            <w:tcW w:type="dxa" w:w="2492"/>
          </w:tcPr>
          <w:p>
            <w:pPr>
              <w:pStyle w:val="null3"/>
            </w:pPr>
            <w:r>
              <w:rPr>
                <w:rFonts w:ascii="仿宋_GB2312" w:hAnsi="仿宋_GB2312" w:cs="仿宋_GB2312" w:eastAsia="仿宋_GB2312"/>
              </w:rPr>
              <w:t>投标人本项目配备技术人员应具备专业技术能力，具备系统集成项目管理工程师、信息系统项目管理师资格的；每有1人满足要求得2.0分，最高得10.0分； 注：投标文件中应提供有效证书复印件并加盖单位公章，未提供不得分注：投标文件中提供证明材料复印件并加盖单位公章，同一人提供多个证书的，不得重复赋分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详细评审-8、人员.docx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提供针对本项目的售后服务方案，包含：售后服务范围清单、响应时间、售后服务具体人员配置（姓名、年龄、专业、联系方式）、培训计划、培训课程内容、培训人数承诺，每有1项合理可行满足要求（无缺漏或不合理事项），得1.0分，最高得6.0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详细评审-9、服务承诺.docx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有效最低投标人报价为基准价，计10分； 其他投标人的报价按下列公式计算： （基准价/投标报价）×10＝报价得分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投标报价组成明细表.docx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详见附件：特定资格要求1--主体资格-响应格式.docx</w:t>
      </w:r>
    </w:p>
    <w:p>
      <w:pPr>
        <w:pStyle w:val="null3"/>
        <w:ind w:firstLine="960"/>
      </w:pPr>
      <w:r>
        <w:rPr>
          <w:rFonts w:ascii="仿宋_GB2312" w:hAnsi="仿宋_GB2312" w:cs="仿宋_GB2312" w:eastAsia="仿宋_GB2312"/>
        </w:rPr>
        <w:t>详见附件：特定资格要求2--法人身份证明、授权委托书-响应格式.docx</w:t>
      </w:r>
    </w:p>
    <w:p>
      <w:pPr>
        <w:pStyle w:val="null3"/>
        <w:ind w:firstLine="960"/>
      </w:pPr>
      <w:r>
        <w:rPr>
          <w:rFonts w:ascii="仿宋_GB2312" w:hAnsi="仿宋_GB2312" w:cs="仿宋_GB2312" w:eastAsia="仿宋_GB2312"/>
        </w:rPr>
        <w:t>详见附件：特定资格要求3--汉中市政府采购供应商资格承诺函-响应格式.docx</w:t>
      </w:r>
    </w:p>
    <w:p>
      <w:pPr>
        <w:pStyle w:val="null3"/>
        <w:ind w:firstLine="960"/>
      </w:pPr>
      <w:r>
        <w:rPr>
          <w:rFonts w:ascii="仿宋_GB2312" w:hAnsi="仿宋_GB2312" w:cs="仿宋_GB2312" w:eastAsia="仿宋_GB2312"/>
        </w:rPr>
        <w:t>详见附件：详细评审-1、投标产品的技术参数和功能响应.docx</w:t>
      </w:r>
    </w:p>
    <w:p>
      <w:pPr>
        <w:pStyle w:val="null3"/>
        <w:ind w:firstLine="960"/>
      </w:pPr>
      <w:r>
        <w:rPr>
          <w:rFonts w:ascii="仿宋_GB2312" w:hAnsi="仿宋_GB2312" w:cs="仿宋_GB2312" w:eastAsia="仿宋_GB2312"/>
        </w:rPr>
        <w:t>详见附件：详细评审-2、项目理解及解读.docx</w:t>
      </w:r>
    </w:p>
    <w:p>
      <w:pPr>
        <w:pStyle w:val="null3"/>
        <w:ind w:firstLine="960"/>
      </w:pPr>
      <w:r>
        <w:rPr>
          <w:rFonts w:ascii="仿宋_GB2312" w:hAnsi="仿宋_GB2312" w:cs="仿宋_GB2312" w:eastAsia="仿宋_GB2312"/>
        </w:rPr>
        <w:t>详见附件：详细评审-3、项目实施方案.docx</w:t>
      </w:r>
    </w:p>
    <w:p>
      <w:pPr>
        <w:pStyle w:val="null3"/>
        <w:ind w:firstLine="960"/>
      </w:pPr>
      <w:r>
        <w:rPr>
          <w:rFonts w:ascii="仿宋_GB2312" w:hAnsi="仿宋_GB2312" w:cs="仿宋_GB2312" w:eastAsia="仿宋_GB2312"/>
        </w:rPr>
        <w:t>详见附件：详细评审-4、工期进度保障方案.docx</w:t>
      </w:r>
    </w:p>
    <w:p>
      <w:pPr>
        <w:pStyle w:val="null3"/>
        <w:ind w:firstLine="960"/>
      </w:pPr>
      <w:r>
        <w:rPr>
          <w:rFonts w:ascii="仿宋_GB2312" w:hAnsi="仿宋_GB2312" w:cs="仿宋_GB2312" w:eastAsia="仿宋_GB2312"/>
        </w:rPr>
        <w:t>详见附件：详细评审-5、售后服务保障方案.docx</w:t>
      </w:r>
    </w:p>
    <w:p>
      <w:pPr>
        <w:pStyle w:val="null3"/>
        <w:ind w:firstLine="960"/>
      </w:pPr>
      <w:r>
        <w:rPr>
          <w:rFonts w:ascii="仿宋_GB2312" w:hAnsi="仿宋_GB2312" w:cs="仿宋_GB2312" w:eastAsia="仿宋_GB2312"/>
        </w:rPr>
        <w:t>详见附件：详细评审-6、重点难点分析及解决方案.docx</w:t>
      </w:r>
    </w:p>
    <w:p>
      <w:pPr>
        <w:pStyle w:val="null3"/>
        <w:ind w:firstLine="960"/>
      </w:pPr>
      <w:r>
        <w:rPr>
          <w:rFonts w:ascii="仿宋_GB2312" w:hAnsi="仿宋_GB2312" w:cs="仿宋_GB2312" w:eastAsia="仿宋_GB2312"/>
        </w:rPr>
        <w:t>详见附件：详细评审-7、业绩.docx</w:t>
      </w:r>
    </w:p>
    <w:p>
      <w:pPr>
        <w:pStyle w:val="null3"/>
        <w:ind w:firstLine="960"/>
      </w:pPr>
      <w:r>
        <w:rPr>
          <w:rFonts w:ascii="仿宋_GB2312" w:hAnsi="仿宋_GB2312" w:cs="仿宋_GB2312" w:eastAsia="仿宋_GB2312"/>
        </w:rPr>
        <w:t>详见附件：详细评审-8、人员.docx</w:t>
      </w:r>
    </w:p>
    <w:p>
      <w:pPr>
        <w:pStyle w:val="null3"/>
        <w:ind w:firstLine="960"/>
      </w:pPr>
      <w:r>
        <w:rPr>
          <w:rFonts w:ascii="仿宋_GB2312" w:hAnsi="仿宋_GB2312" w:cs="仿宋_GB2312" w:eastAsia="仿宋_GB2312"/>
        </w:rPr>
        <w:t>详见附件：详细评审-9、服务承诺.docx</w:t>
      </w:r>
    </w:p>
    <w:p>
      <w:pPr>
        <w:pStyle w:val="null3"/>
        <w:ind w:firstLine="960"/>
      </w:pPr>
      <w:r>
        <w:rPr>
          <w:rFonts w:ascii="仿宋_GB2312" w:hAnsi="仿宋_GB2312" w:cs="仿宋_GB2312" w:eastAsia="仿宋_GB2312"/>
        </w:rPr>
        <w:t>详见附件：投标报价组成明细表.docx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详见附件：参考合同（服务类）.docx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