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版本号：ZJSHZ-2025-01020260105003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西乡县河道采砂规划(2025-2030年)编制及环境影响评价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ZJSHZ-2025-010</w:t>
      </w:r>
      <w:r>
        <w:br/>
      </w:r>
      <w:r>
        <w:br/>
      </w:r>
      <w:r>
        <w:br/>
      </w:r>
    </w:p>
    <w:p>
      <w:pPr>
        <w:pStyle w:val="null3"/>
        <w:jc w:val="center"/>
        <w:outlineLvl w:val="2"/>
      </w:pPr>
      <w:r>
        <w:rPr>
          <w:rFonts w:ascii="仿宋_GB2312" w:hAnsi="仿宋_GB2312" w:cs="仿宋_GB2312" w:eastAsia="仿宋_GB2312"/>
          <w:sz w:val="28"/>
          <w:b/>
        </w:rPr>
        <w:t>西乡县河道管理站</w:t>
      </w:r>
    </w:p>
    <w:p>
      <w:pPr>
        <w:pStyle w:val="null3"/>
        <w:jc w:val="center"/>
        <w:outlineLvl w:val="2"/>
      </w:pPr>
      <w:r>
        <w:rPr>
          <w:rFonts w:ascii="仿宋_GB2312" w:hAnsi="仿宋_GB2312" w:cs="仿宋_GB2312" w:eastAsia="仿宋_GB2312"/>
          <w:sz w:val="28"/>
          <w:b/>
        </w:rPr>
        <w:t>中戟盛项目管理有限公司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中戟盛项目管理有限公司</w:t>
      </w:r>
      <w:r>
        <w:rPr>
          <w:rFonts w:ascii="仿宋_GB2312" w:hAnsi="仿宋_GB2312" w:cs="仿宋_GB2312" w:eastAsia="仿宋_GB2312"/>
        </w:rPr>
        <w:t>（以下简称“代理机构”）受</w:t>
      </w:r>
      <w:r>
        <w:rPr>
          <w:rFonts w:ascii="仿宋_GB2312" w:hAnsi="仿宋_GB2312" w:cs="仿宋_GB2312" w:eastAsia="仿宋_GB2312"/>
        </w:rPr>
        <w:t>西乡县河道管理站</w:t>
      </w:r>
      <w:r>
        <w:rPr>
          <w:rFonts w:ascii="仿宋_GB2312" w:hAnsi="仿宋_GB2312" w:cs="仿宋_GB2312" w:eastAsia="仿宋_GB2312"/>
        </w:rPr>
        <w:t>委托，拟对</w:t>
      </w:r>
      <w:r>
        <w:rPr>
          <w:rFonts w:ascii="仿宋_GB2312" w:hAnsi="仿宋_GB2312" w:cs="仿宋_GB2312" w:eastAsia="仿宋_GB2312"/>
        </w:rPr>
        <w:t>西乡县河道采砂规划(2025-2030年)编制及环境影响评价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ZJSHZ-2025-010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西乡县河道采砂规划(2025-2030年)编制及环境影响评价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通过科学规划采砂区和总量，确保河道行洪安全、保护生态环境，合理利用砂石资源，维护河势稳定。 依据《中华人民共和国环境影响评价法》等法律、法规的规定，按照现行各环境影响评价技术指导的相关编制环境影响评价报告。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采购包1（河道采砂规划报告编制）：属于专门面向中小企业采购。</w:t>
      </w:r>
    </w:p>
    <w:p>
      <w:pPr>
        <w:pStyle w:val="null3"/>
      </w:pPr>
      <w:r>
        <w:rPr>
          <w:rFonts w:ascii="仿宋_GB2312" w:hAnsi="仿宋_GB2312" w:cs="仿宋_GB2312" w:eastAsia="仿宋_GB2312"/>
        </w:rPr>
        <w:t>采购包2（河道采砂规划环评报告编制）：属于专门面向中小企业采购。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授权委托书：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p>
      <w:pPr>
        <w:pStyle w:val="null3"/>
      </w:pPr>
      <w:r>
        <w:rPr>
          <w:rFonts w:ascii="仿宋_GB2312" w:hAnsi="仿宋_GB2312" w:cs="仿宋_GB2312" w:eastAsia="仿宋_GB2312"/>
        </w:rPr>
        <w:t>3、资质要求：供应商须具备行政主管部门核发的水利设计行业乙级（含乙级）以上或水利设计行业(水库枢纽或城市防洪）专业乙级（含乙级）以上资质；供应商需在项目电子化交易系统中按要求上传相应证明文件并进行电子签章。</w:t>
      </w:r>
    </w:p>
    <w:p>
      <w:pPr>
        <w:pStyle w:val="null3"/>
      </w:pPr>
      <w:r>
        <w:rPr>
          <w:rFonts w:ascii="仿宋_GB2312" w:hAnsi="仿宋_GB2312" w:cs="仿宋_GB2312" w:eastAsia="仿宋_GB2312"/>
        </w:rPr>
        <w:t>4、汉中市政府采购供应商资格承诺函：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5、中小企业声明函：本项目专门面向中小企业采购，供应商应当为中小微企业(含残疾人福利性单位、监狱企业)并提供声明函。供应商需在项目电子化交易系统中按要求上传相应证明文件并进行电子签章。</w:t>
      </w:r>
    </w:p>
    <w:p>
      <w:pPr>
        <w:pStyle w:val="null3"/>
      </w:pPr>
      <w:r>
        <w:rPr>
          <w:rFonts w:ascii="仿宋_GB2312" w:hAnsi="仿宋_GB2312" w:cs="仿宋_GB2312" w:eastAsia="仿宋_GB2312"/>
        </w:rPr>
        <w:t>6、非联合体投标：本项目不接受联合体投标，供应商需在项目电子化交易系统中按要求上传相应证明文件并进行电子签章。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为独立承担民事责任能力的法人或其他组织或自然人：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授权委托书：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p>
      <w:pPr>
        <w:pStyle w:val="null3"/>
      </w:pPr>
      <w:r>
        <w:rPr>
          <w:rFonts w:ascii="仿宋_GB2312" w:hAnsi="仿宋_GB2312" w:cs="仿宋_GB2312" w:eastAsia="仿宋_GB2312"/>
        </w:rPr>
        <w:t>3、资格要求：供应商须在中华人民共和国生态环境部环境影响评价信用平台注册(需提供网站查询截图)。供应商需在项目电子化交易系统中按要求上传相应证明文件并进行电子签章。</w:t>
      </w:r>
    </w:p>
    <w:p>
      <w:pPr>
        <w:pStyle w:val="null3"/>
      </w:pPr>
      <w:r>
        <w:rPr>
          <w:rFonts w:ascii="仿宋_GB2312" w:hAnsi="仿宋_GB2312" w:cs="仿宋_GB2312" w:eastAsia="仿宋_GB2312"/>
        </w:rPr>
        <w:t>4、汉中市政府采购供应商资格承诺函：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5、中小企业声明函：本项目专门面向中小企业采购，供应商应当为中小微企业(含残疾人福利性单位、监狱企业)并提供声明函。供应商需在项目电子化交易系统中按要求上传相应证明文件并进行电子签章。</w:t>
      </w:r>
    </w:p>
    <w:p>
      <w:pPr>
        <w:pStyle w:val="null3"/>
      </w:pPr>
      <w:r>
        <w:rPr>
          <w:rFonts w:ascii="仿宋_GB2312" w:hAnsi="仿宋_GB2312" w:cs="仿宋_GB2312" w:eastAsia="仿宋_GB2312"/>
        </w:rPr>
        <w:t>6、非联合体投标：本项目不接受联合体投标，供应商须提供《非联合体投标书面声明》(格式自拟)。供应商需在项目电子化交易系统中按要求上传相应证明文件并进行电子签章。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西乡县河道管理站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西乡县汉白路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西乡县河道管理站经办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15877479993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中戟盛项目管理有限公司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陕西省西安市未央区陕西省西安市经济技术开发区凤城七路凤城庭院20号1栋2单元7层1号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张益豪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15191658555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西乡县河道管理站</w:t>
      </w:r>
      <w:r>
        <w:rPr>
          <w:rFonts w:ascii="仿宋_GB2312" w:hAnsi="仿宋_GB2312" w:cs="仿宋_GB2312" w:eastAsia="仿宋_GB2312"/>
        </w:rPr>
        <w:t>和</w:t>
      </w:r>
      <w:r>
        <w:rPr>
          <w:rFonts w:ascii="仿宋_GB2312" w:hAnsi="仿宋_GB2312" w:cs="仿宋_GB2312" w:eastAsia="仿宋_GB2312"/>
        </w:rPr>
        <w:t>中戟盛项目管理有限公司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西乡县河道管理站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中戟盛项目管理有限公司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西乡县河道管理站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中戟盛项目管理有限公司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中戟盛项目管理有限公司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中戟盛项目管理有限公司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中戟盛项目管理有限公司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联系电话：0916-6476411</w:t>
      </w:r>
    </w:p>
    <w:p>
      <w:pPr>
        <w:pStyle w:val="null3"/>
      </w:pPr>
      <w:r>
        <w:rPr>
          <w:rFonts w:ascii="仿宋_GB2312" w:hAnsi="仿宋_GB2312" w:cs="仿宋_GB2312" w:eastAsia="仿宋_GB2312"/>
        </w:rPr>
        <w:t>地址：西乡县城南街道办西牟路永昌木门对面三楼</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1、通过科学规划采砂区和总量，确保河道行洪安全、保护生态环境，合理利用砂石资源，维护河势稳定。 2、依据《中华人民共和国环境影响评价法》等法律、法规的规定，按照现行各环境影响评价技术指导的相关编制环境影响评价报告。 保障采砂规划及环评编制工作开展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河道采砂规划报告编制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河道采砂规划环评报告编制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标的名称：河道采砂规划报告编制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根据《河道采砂规划编制规程》要求，规划编制2025年-2030年度西乡县河道采砂规划；主要包含以下工作： </w:t>
            </w:r>
            <w:r>
              <w:br/>
            </w:r>
            <w:r>
              <w:rPr>
                <w:rFonts w:ascii="仿宋_GB2312" w:hAnsi="仿宋_GB2312" w:cs="仿宋_GB2312" w:eastAsia="仿宋_GB2312"/>
              </w:rPr>
              <w:t xml:space="preserve"> 1、现场勘察；对采砂区域进行详细的现场勘察，包括地形、地貌、水 文、地质等方面的调查。 </w:t>
            </w:r>
            <w:r>
              <w:br/>
            </w:r>
            <w:r>
              <w:rPr>
                <w:rFonts w:ascii="仿宋_GB2312" w:hAnsi="仿宋_GB2312" w:cs="仿宋_GB2312" w:eastAsia="仿宋_GB2312"/>
              </w:rPr>
              <w:t xml:space="preserve"> 2、资料收集与分析；收集规划河段/湖泊的水文、地质、地形、水文站 历史数据；收集相关法律法规、政策文件、历史资料等，进行分析整理。 </w:t>
            </w:r>
            <w:r>
              <w:br/>
            </w:r>
            <w:r>
              <w:rPr>
                <w:rFonts w:ascii="仿宋_GB2312" w:hAnsi="仿宋_GB2312" w:cs="仿宋_GB2312" w:eastAsia="仿宋_GB2312"/>
              </w:rPr>
              <w:t xml:space="preserve"> 3、采砂分区规划 </w:t>
            </w:r>
            <w:r>
              <w:br/>
            </w:r>
            <w:r>
              <w:rPr>
                <w:rFonts w:ascii="仿宋_GB2312" w:hAnsi="仿宋_GB2312" w:cs="仿宋_GB2312" w:eastAsia="仿宋_GB2312"/>
              </w:rPr>
              <w:t xml:space="preserve"> 3.1 根据河势稳定、防洪安全、生态保护等要求，划定可采区、禁采区； </w:t>
            </w:r>
            <w:r>
              <w:br/>
            </w:r>
            <w:r>
              <w:rPr>
                <w:rFonts w:ascii="仿宋_GB2312" w:hAnsi="仿宋_GB2312" w:cs="仿宋_GB2312" w:eastAsia="仿宋_GB2312"/>
              </w:rPr>
              <w:t xml:space="preserve"> 3.2 明确可采区的具体范围、年度控制开采量、开采深度、作业方式；</w:t>
            </w:r>
            <w:r>
              <w:br/>
            </w:r>
            <w:r>
              <w:rPr>
                <w:rFonts w:ascii="仿宋_GB2312" w:hAnsi="仿宋_GB2312" w:cs="仿宋_GB2312" w:eastAsia="仿宋_GB2312"/>
              </w:rPr>
              <w:t xml:space="preserve"> 3.3 提出禁采区的管理要求。 </w:t>
            </w:r>
            <w:r>
              <w:br/>
            </w:r>
            <w:r>
              <w:rPr>
                <w:rFonts w:ascii="仿宋_GB2312" w:hAnsi="仿宋_GB2312" w:cs="仿宋_GB2312" w:eastAsia="仿宋_GB2312"/>
              </w:rPr>
              <w:t xml:space="preserve"> 4、采砂影响评估 </w:t>
            </w:r>
            <w:r>
              <w:br/>
            </w:r>
            <w:r>
              <w:rPr>
                <w:rFonts w:ascii="仿宋_GB2312" w:hAnsi="仿宋_GB2312" w:cs="仿宋_GB2312" w:eastAsia="仿宋_GB2312"/>
              </w:rPr>
              <w:t xml:space="preserve"> 4.1 分析采砂对河势稳定、防洪工程安全、水生态环境、通航安全的影响； </w:t>
            </w:r>
            <w:r>
              <w:br/>
            </w:r>
            <w:r>
              <w:rPr>
                <w:rFonts w:ascii="仿宋_GB2312" w:hAnsi="仿宋_GB2312" w:cs="仿宋_GB2312" w:eastAsia="仿宋_GB2312"/>
              </w:rPr>
              <w:t xml:space="preserve"> 4.2 提出生态保护与修复措施。 </w:t>
            </w:r>
            <w:r>
              <w:br/>
            </w:r>
            <w:r>
              <w:rPr>
                <w:rFonts w:ascii="仿宋_GB2312" w:hAnsi="仿宋_GB2312" w:cs="仿宋_GB2312" w:eastAsia="仿宋_GB2312"/>
              </w:rPr>
              <w:t xml:space="preserve"> 5、规划实施方案 </w:t>
            </w:r>
            <w:r>
              <w:br/>
            </w:r>
            <w:r>
              <w:rPr>
                <w:rFonts w:ascii="仿宋_GB2312" w:hAnsi="仿宋_GB2312" w:cs="仿宋_GB2312" w:eastAsia="仿宋_GB2312"/>
              </w:rPr>
              <w:t xml:space="preserve"> 5.1 明确采砂许可管理要求； </w:t>
            </w:r>
            <w:r>
              <w:br/>
            </w:r>
            <w:r>
              <w:rPr>
                <w:rFonts w:ascii="仿宋_GB2312" w:hAnsi="仿宋_GB2312" w:cs="仿宋_GB2312" w:eastAsia="仿宋_GB2312"/>
              </w:rPr>
              <w:t xml:space="preserve"> 5.2 制定采砂监管措施； </w:t>
            </w:r>
            <w:r>
              <w:br/>
            </w:r>
            <w:r>
              <w:rPr>
                <w:rFonts w:ascii="仿宋_GB2312" w:hAnsi="仿宋_GB2312" w:cs="仿宋_GB2312" w:eastAsia="仿宋_GB2312"/>
              </w:rPr>
              <w:t xml:space="preserve"> 5.3 提出规划实施保障措施。 </w:t>
            </w:r>
            <w:r>
              <w:br/>
            </w:r>
            <w:r>
              <w:rPr>
                <w:rFonts w:ascii="仿宋_GB2312" w:hAnsi="仿宋_GB2312" w:cs="仿宋_GB2312" w:eastAsia="仿宋_GB2312"/>
              </w:rPr>
              <w:t xml:space="preserve"> 6、采砂规划编制； </w:t>
            </w:r>
            <w:r>
              <w:br/>
            </w:r>
            <w:r>
              <w:rPr>
                <w:rFonts w:ascii="仿宋_GB2312" w:hAnsi="仿宋_GB2312" w:cs="仿宋_GB2312" w:eastAsia="仿宋_GB2312"/>
              </w:rPr>
              <w:t xml:space="preserve"> 7、参加采砂规划评审会议，确保规划的科学性和可行性。 </w:t>
            </w:r>
            <w:r>
              <w:br/>
            </w:r>
            <w:r>
              <w:rPr>
                <w:rFonts w:ascii="仿宋_GB2312" w:hAnsi="仿宋_GB2312" w:cs="仿宋_GB2312" w:eastAsia="仿宋_GB2312"/>
              </w:rPr>
              <w:t xml:space="preserve"> 8、全套电子版文件（含附图、附件等）报告印刷和装订、完成10套报告的印刷和装订工作。 </w:t>
            </w:r>
            <w:r>
              <w:br/>
            </w:r>
            <w:r>
              <w:rPr>
                <w:rFonts w:ascii="仿宋_GB2312" w:hAnsi="仿宋_GB2312" w:cs="仿宋_GB2312" w:eastAsia="仿宋_GB2312"/>
              </w:rPr>
              <w:t xml:space="preserve"> 9、后续咨询服务、提供规划实施过程中的技术咨询和后续服务。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标的名称：河道采砂规划环评报告编制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根据《规划环境影响评价技术导则总纲》（HJ 130-2019）要求，（2025-2030年）规划环评编制主要包含以下工作： </w:t>
            </w:r>
            <w:r>
              <w:br/>
            </w:r>
            <w:r>
              <w:rPr>
                <w:rFonts w:ascii="仿宋_GB2312" w:hAnsi="仿宋_GB2312" w:cs="仿宋_GB2312" w:eastAsia="仿宋_GB2312"/>
              </w:rPr>
              <w:t xml:space="preserve"> 1.现场勘察及环境质量现状监测：对可采区进行详细的现场勘察，包括地形、地貌、水文、陆生生态、水生生态等方面的调查，完成采砂区域大气、噪声、地表水等环境质量现状监测。 </w:t>
            </w:r>
            <w:r>
              <w:br/>
            </w:r>
            <w:r>
              <w:rPr>
                <w:rFonts w:ascii="仿宋_GB2312" w:hAnsi="仿宋_GB2312" w:cs="仿宋_GB2312" w:eastAsia="仿宋_GB2312"/>
              </w:rPr>
              <w:t xml:space="preserve"> 2.资料收集与分析：收集规划河段的水文、地质、地形、水文站历史数据，收集规划影响水域主要水生生物的分布，特别关注国家保护水生动植物；收集相关环境管理法律法规、政策文件、历史资料等，进行分析整理。 </w:t>
            </w:r>
            <w:r>
              <w:br/>
            </w:r>
            <w:r>
              <w:rPr>
                <w:rFonts w:ascii="仿宋_GB2312" w:hAnsi="仿宋_GB2312" w:cs="仿宋_GB2312" w:eastAsia="仿宋_GB2312"/>
              </w:rPr>
              <w:t xml:space="preserve"> 3.采砂规划实施的环境影响与评价</w:t>
            </w:r>
            <w:r>
              <w:br/>
            </w:r>
            <w:r>
              <w:rPr>
                <w:rFonts w:ascii="仿宋_GB2312" w:hAnsi="仿宋_GB2312" w:cs="仿宋_GB2312" w:eastAsia="仿宋_GB2312"/>
              </w:rPr>
              <w:t xml:space="preserve"> 3.1 根据可采区分布，确定对水产在种质资源保护区、饮用水保护区等敏感目标的位置关系，分析环境影响可行性； </w:t>
            </w:r>
            <w:r>
              <w:br/>
            </w:r>
            <w:r>
              <w:rPr>
                <w:rFonts w:ascii="仿宋_GB2312" w:hAnsi="仿宋_GB2312" w:cs="仿宋_GB2312" w:eastAsia="仿宋_GB2312"/>
              </w:rPr>
              <w:t xml:space="preserve"> 3.2 生态环境影响及累积环境影响预测分析；</w:t>
            </w:r>
            <w:r>
              <w:br/>
            </w:r>
            <w:r>
              <w:rPr>
                <w:rFonts w:ascii="仿宋_GB2312" w:hAnsi="仿宋_GB2312" w:cs="仿宋_GB2312" w:eastAsia="仿宋_GB2312"/>
              </w:rPr>
              <w:t xml:space="preserve"> 3.3 资源与环境承载力分析。 </w:t>
            </w:r>
            <w:r>
              <w:br/>
            </w:r>
            <w:r>
              <w:rPr>
                <w:rFonts w:ascii="仿宋_GB2312" w:hAnsi="仿宋_GB2312" w:cs="仿宋_GB2312" w:eastAsia="仿宋_GB2312"/>
              </w:rPr>
              <w:t xml:space="preserve"> 4.规划的综合论证和优化调整建议</w:t>
            </w:r>
            <w:r>
              <w:br/>
            </w:r>
            <w:r>
              <w:rPr>
                <w:rFonts w:ascii="仿宋_GB2312" w:hAnsi="仿宋_GB2312" w:cs="仿宋_GB2312" w:eastAsia="仿宋_GB2312"/>
              </w:rPr>
              <w:t xml:space="preserve"> 4.1 规划方案综合论证及环境保护目标可达性分析； </w:t>
            </w:r>
            <w:r>
              <w:br/>
            </w:r>
            <w:r>
              <w:rPr>
                <w:rFonts w:ascii="仿宋_GB2312" w:hAnsi="仿宋_GB2312" w:cs="仿宋_GB2312" w:eastAsia="仿宋_GB2312"/>
              </w:rPr>
              <w:t xml:space="preserve"> 4.2 提出规划的优化调整建议。 </w:t>
            </w:r>
            <w:r>
              <w:br/>
            </w:r>
            <w:r>
              <w:rPr>
                <w:rFonts w:ascii="仿宋_GB2312" w:hAnsi="仿宋_GB2312" w:cs="仿宋_GB2312" w:eastAsia="仿宋_GB2312"/>
              </w:rPr>
              <w:t xml:space="preserve"> 5.规划实施环境影响减缓对策与措施 </w:t>
            </w:r>
            <w:r>
              <w:br/>
            </w:r>
            <w:r>
              <w:rPr>
                <w:rFonts w:ascii="仿宋_GB2312" w:hAnsi="仿宋_GB2312" w:cs="仿宋_GB2312" w:eastAsia="仿宋_GB2312"/>
              </w:rPr>
              <w:t xml:space="preserve"> 5.1 规划开采期环境保护措施； </w:t>
            </w:r>
            <w:r>
              <w:br/>
            </w:r>
            <w:r>
              <w:rPr>
                <w:rFonts w:ascii="仿宋_GB2312" w:hAnsi="仿宋_GB2312" w:cs="仿宋_GB2312" w:eastAsia="仿宋_GB2312"/>
              </w:rPr>
              <w:t xml:space="preserve"> 5.2 规划开采地质环境保护措施； </w:t>
            </w:r>
            <w:r>
              <w:br/>
            </w:r>
            <w:r>
              <w:rPr>
                <w:rFonts w:ascii="仿宋_GB2312" w:hAnsi="仿宋_GB2312" w:cs="仿宋_GB2312" w:eastAsia="仿宋_GB2312"/>
              </w:rPr>
              <w:t xml:space="preserve"> 5.3 空间管制及总量管控。 </w:t>
            </w:r>
            <w:r>
              <w:br/>
            </w:r>
            <w:r>
              <w:rPr>
                <w:rFonts w:ascii="仿宋_GB2312" w:hAnsi="仿宋_GB2312" w:cs="仿宋_GB2312" w:eastAsia="仿宋_GB2312"/>
              </w:rPr>
              <w:t xml:space="preserve"> 6.规划环境影响评价结论 </w:t>
            </w:r>
            <w:r>
              <w:br/>
            </w:r>
            <w:r>
              <w:rPr>
                <w:rFonts w:ascii="仿宋_GB2312" w:hAnsi="仿宋_GB2312" w:cs="仿宋_GB2312" w:eastAsia="仿宋_GB2312"/>
              </w:rPr>
              <w:t xml:space="preserve"> 7.参加采砂规划环境影响报告书评审会议，确保规划的环境影响可行性。 </w:t>
            </w:r>
            <w:r>
              <w:br/>
            </w:r>
            <w:r>
              <w:rPr>
                <w:rFonts w:ascii="仿宋_GB2312" w:hAnsi="仿宋_GB2312" w:cs="仿宋_GB2312" w:eastAsia="仿宋_GB2312"/>
              </w:rPr>
              <w:t xml:space="preserve"> 8.全套电子版文件（含附图、附件等）报告印刷和装订、完成10套报告的印刷和装订工作。 </w:t>
            </w:r>
            <w:r>
              <w:br/>
            </w:r>
            <w:r>
              <w:rPr>
                <w:rFonts w:ascii="仿宋_GB2312" w:hAnsi="仿宋_GB2312" w:cs="仿宋_GB2312" w:eastAsia="仿宋_GB2312"/>
              </w:rPr>
              <w:t xml:space="preserve"> 9.后续咨询服务、提供规划实施过程中的技术咨询和后续服务。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1、拟派项目负责人须具备水利水电相关专业中级及以上技术职称; 2、项目人员配置不低于3人。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配备至少2名注册环评工程师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针对本项目拟投入的设备、仪器完整、齐全，配备合理，完全满足项目需求。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针对本项目拟投入的设备、仪器完整、齐全，配备合理，完全满足项目需求。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符合国家及行业法律法规和技术标准要求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自本项目合同签订后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提交初步成果文件后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响应函 技术、服务、商务及其他要求响应偏离表.docx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响应函 技术、服务、商务及其他要求响应偏离表.docx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特定资格.docx 服务内容及服务邀请应答表 中小企业声明函 商务应答表 报价表 响应文件封面 残疾人福利性单位声明函 拒绝政府采购领域商业贿赂承诺书.docx 标的清单 响应函 服务方案.docx 监狱企业的证明文件 技术、服务、商务及其他要求响应偏离表.docx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核发的水利设计行业乙级（含乙级）以上或水利设计行业(水库枢纽或城市防洪）专业乙级（含乙级）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本项目专门面向中小企业采购，供应商应当为中小微企业(含残疾人福利性单位、监狱企业)并提供声明函。供应商需在项目电子化交易系统中按要求上传相应证明文件并进行电子签章。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供应商须在中华人民共和国生态环境部环境影响评价信用平台注册(需提供网站查询截图)。供应商需在项目电子化交易系统中按要求上传相应证明文件并进行电子签章。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本项目专门面向中小企业采购，供应商应当为中小微企业(含残疾人福利性单位、监狱企业)并提供声明函。供应商需在项目电子化交易系统中按要求上传相应证明文件并进行电子签章。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本项目不接受联合体投标，供应商须提供《非联合体投标书面声明》(格式自拟)。供应商需在项目电子化交易系统中按要求上传相应证明文件并进行电子签章。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供应商未提供供应商拒绝政府采购领域商业贿赂承诺书，响应文件作为无效处理。</w:t>
            </w:r>
          </w:p>
        </w:tc>
        <w:tc>
          <w:tcPr>
            <w:tcW w:type="dxa" w:w="1661"/>
          </w:tcPr>
          <w:p>
            <w:pPr>
              <w:pStyle w:val="null3"/>
            </w:pPr>
            <w:r>
              <w:rPr>
                <w:rFonts w:ascii="仿宋_GB2312" w:hAnsi="仿宋_GB2312" w:cs="仿宋_GB2312" w:eastAsia="仿宋_GB2312"/>
              </w:rPr>
              <w:t>拒绝政府采购领域商业贿赂承诺书.docx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供应商未提供供应商拒绝政府采购领域商业贿赂承诺书，响应文件作为无效处理。</w:t>
            </w:r>
          </w:p>
        </w:tc>
        <w:tc>
          <w:tcPr>
            <w:tcW w:type="dxa" w:w="1661"/>
          </w:tcPr>
          <w:p>
            <w:pPr>
              <w:pStyle w:val="null3"/>
            </w:pPr>
            <w:r>
              <w:rPr>
                <w:rFonts w:ascii="仿宋_GB2312" w:hAnsi="仿宋_GB2312" w:cs="仿宋_GB2312" w:eastAsia="仿宋_GB2312"/>
              </w:rPr>
              <w:t>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项目理解与规划编制技术方案</w:t>
            </w:r>
          </w:p>
        </w:tc>
        <w:tc>
          <w:tcPr>
            <w:tcW w:type="dxa" w:w="2492"/>
          </w:tcPr>
          <w:p>
            <w:pPr>
              <w:pStyle w:val="null3"/>
            </w:pPr>
            <w:r>
              <w:rPr>
                <w:rFonts w:ascii="仿宋_GB2312" w:hAnsi="仿宋_GB2312" w:cs="仿宋_GB2312" w:eastAsia="仿宋_GB2312"/>
              </w:rPr>
              <w:t>1. 项目理解与规划编制技术方案（30分）（1）对项目背景、规划相关政策法规、核心需求的理解深度，结合项目区域河道演变特性、理解全面、分析精准得6-10分；理解较全面、分析较精准得3-5分；理解片面、分析粗浅得0-2分。（2）规划编制技术路线科学性与可行性：技术路线完全符合规范要求，涵盖资料收集、现场勘查、河道演变分析、可采量评估、规划方案编制，方法先进、逻辑清晰、可操作性强得7-10分；技术路线符合规范，流程完整、方法可行得4-6分；技术路线基本符合要求，流程不够完善得0-3分。（3）规划编制内容完整性与针对性：内容完全覆盖河道概况、砂石资源现状评估、采砂分区与规划布局、采砂总量控制、采砂作业要求、规划实施保障等核心模块，能针对性解决项目区域采砂协调问题得6-10分；内容覆盖主要模块，针对性较强得3-5分；内容缺项较多、针对性不足得0-2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专项保障措施</w:t>
            </w:r>
          </w:p>
        </w:tc>
        <w:tc>
          <w:tcPr>
            <w:tcW w:type="dxa" w:w="2492"/>
          </w:tcPr>
          <w:p>
            <w:pPr>
              <w:pStyle w:val="null3"/>
            </w:pPr>
            <w:r>
              <w:rPr>
                <w:rFonts w:ascii="仿宋_GB2312" w:hAnsi="仿宋_GB2312" w:cs="仿宋_GB2312" w:eastAsia="仿宋_GB2312"/>
              </w:rPr>
              <w:t>（1）人员与设备保障：拟投入项目团队人员配备充分，核心成员职责分工明确，提供人员稳定性承诺；拟投入勘查设备清单齐全、精度符合要求，能满足现场勘查、数据测量需求得6-10分；人员配备较充分，职责分工基本明确，设备清单基本齐全得3-5分；人员、设备安排有基本描述得1-2分；未提供得0分。（2）安全与应急保障：针对规划编制实施过程中可能出现的现场勘查安全风险、水文异常等问题，制定科学可行的防控与应急处置方案；明确项目实施过程中的安全管理要求，避免安全事故得4-5分；防控与应急方案基本可行，有基础安全要求说明得2-3分；有简单说明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进度计划全面详尽，重点明确规划编制各关键阶段、时间节点，针对现场勘查周期、数据校验等重难点环节分析精准，针对性保障措施有力，能确保按期完成得7-10分；进度计划完整，时间安排合理，保障措施完善可行得4-6分；进度计划简单，时间安排基本合理，有基础保障措施得1-3分；进度计划混乱、无保障措施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质量控制与成果保障</w:t>
            </w:r>
          </w:p>
        </w:tc>
        <w:tc>
          <w:tcPr>
            <w:tcW w:type="dxa" w:w="2492"/>
          </w:tcPr>
          <w:p>
            <w:pPr>
              <w:pStyle w:val="null3"/>
            </w:pPr>
            <w:r>
              <w:rPr>
                <w:rFonts w:ascii="仿宋_GB2312" w:hAnsi="仿宋_GB2312" w:cs="仿宋_GB2312" w:eastAsia="仿宋_GB2312"/>
              </w:rPr>
              <w:t>（1）质量管理体系：建立规划编制全流程质量监控体系，明确现场勘查数据审核、可采量评估模型校验、规划方案审核等关键技术环节质量控制点，严格遵循河道采砂规划相关行业规范，措施详尽规范得5-8分；质量管理体系完善，能实现全过程监控，基本符合规范要求得2-4分；质量管理体系不够完善，监控措施较简单得1-2分；无质量管理体系得0分。（2）成果保障措施：明确规划成果验收标准（符合审批部门要求、数据真实准确、方案科学合理）、修改完善机制，承诺配合完成评审、报批全流程工作，按时提交符合要求的规划文本、图件、说明等相关附件材料，保障措施全面可靠得5-7分；成果验收标准清晰，有修改完善机制，承诺基本可行得3-4分；有基础成果保障说明得1-2分；无成果保障措施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项目团队实力</w:t>
            </w:r>
          </w:p>
        </w:tc>
        <w:tc>
          <w:tcPr>
            <w:tcW w:type="dxa" w:w="2492"/>
          </w:tcPr>
          <w:p>
            <w:pPr>
              <w:pStyle w:val="null3"/>
            </w:pPr>
            <w:r>
              <w:rPr>
                <w:rFonts w:ascii="仿宋_GB2312" w:hAnsi="仿宋_GB2312" w:cs="仿宋_GB2312" w:eastAsia="仿宋_GB2312"/>
              </w:rPr>
              <w:t>（1）拟派项目负责人须具备水利水电相关专业中级及以上技术职称，近半年社保；得 2分，，其他情况得0分。（2）拟派其他项目人员具有中级或以上工程师职称得 1 分；（需提供人员资质证书及社保缴纳证明，人员不得重复计分，此项最高得6分）。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近3年完成的类似业绩</w:t>
            </w:r>
          </w:p>
        </w:tc>
        <w:tc>
          <w:tcPr>
            <w:tcW w:type="dxa" w:w="2492"/>
          </w:tcPr>
          <w:p>
            <w:pPr>
              <w:pStyle w:val="null3"/>
            </w:pPr>
            <w:r>
              <w:rPr>
                <w:rFonts w:ascii="仿宋_GB2312" w:hAnsi="仿宋_GB2312" w:cs="仿宋_GB2312" w:eastAsia="仿宋_GB2312"/>
              </w:rPr>
              <w:t>提供近3年完成的类似业绩，要求应附中标通知书或合同协议书等证明材料，每个业绩得2分，最高得4分。（注：以上证明材料在响应文件中附复印件，否则不得分。）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项目理解与环评技术服务方案</w:t>
            </w:r>
          </w:p>
        </w:tc>
        <w:tc>
          <w:tcPr>
            <w:tcW w:type="dxa" w:w="2492"/>
          </w:tcPr>
          <w:p>
            <w:pPr>
              <w:pStyle w:val="null3"/>
            </w:pPr>
            <w:r>
              <w:rPr>
                <w:rFonts w:ascii="仿宋_GB2312" w:hAnsi="仿宋_GB2312" w:cs="仿宋_GB2312" w:eastAsia="仿宋_GB2312"/>
              </w:rPr>
              <w:t>（1）对项目背景、环评相关政策法规、核心需求的理解深度，结合项目区域河道生态环境特性的分析精准度：理解全面、分析精准得7-10分；理解较全面、分析较精准得3-6分；理解片面、分析粗浅得0-2分。（2）环评技术路线科学性与可行性：技术路线完全符合环评导则及相关规范要求，涵盖资料收集、现场勘查监测、环境现状调查与评价、影响预测与分析、环保措施制定、公众参与等全流程，方法先进、逻辑清晰、可操作性强得7-10分；技术路线符合规范，流程完整、方法可行得4-6分；技术路线基本符合要求，流程不够完善得0-3分。（3）环评内容完整性与针对性：内容完全覆盖生态环境现状调查、采砂活动环境影响识别与预测、环保措施论证与优化、环境风险评估与应急措施、环境管理与监测计划等核心模块，能针对性解决项目区域特有生态环境问题得7-10分；内容覆盖主要模块，针对性较强得3-6分；内容缺项较多、针对性不足得0-2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供应商资质与信用</w:t>
            </w:r>
          </w:p>
        </w:tc>
        <w:tc>
          <w:tcPr>
            <w:tcW w:type="dxa" w:w="2492"/>
          </w:tcPr>
          <w:p>
            <w:pPr>
              <w:pStyle w:val="null3"/>
            </w:pPr>
            <w:r>
              <w:rPr>
                <w:rFonts w:ascii="仿宋_GB2312" w:hAnsi="仿宋_GB2312" w:cs="仿宋_GB2312" w:eastAsia="仿宋_GB2312"/>
              </w:rPr>
              <w:t>供应商须在中华人民共和国生态环境部环境影响评价信用平台注册(需提供网站查询截图)。得3分；配备至少2名注册环评工程师,社保在本单位缴纳一年以上(附社保缴费凭证)得3分；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进度计划全面详尽，重点明确环评各关键阶段（现状调查监测、数据整理分析、报告编制、公众参与、评审报批）时间节点，针对监测周期、公众参与公示等重难点环节分析精准，针对性保障措施有力，能确保按期完成得7-8分；进度计划完整，时间安排合理，保障措施完善可行得4-6分；进度计划简单，时间安排基本合理，有基础保障措施得1-3分；进度计划混乱、无保障措施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质量控制与成果保障</w:t>
            </w:r>
          </w:p>
        </w:tc>
        <w:tc>
          <w:tcPr>
            <w:tcW w:type="dxa" w:w="2492"/>
          </w:tcPr>
          <w:p>
            <w:pPr>
              <w:pStyle w:val="null3"/>
            </w:pPr>
            <w:r>
              <w:rPr>
                <w:rFonts w:ascii="仿宋_GB2312" w:hAnsi="仿宋_GB2312" w:cs="仿宋_GB2312" w:eastAsia="仿宋_GB2312"/>
              </w:rPr>
              <w:t>（1）质量管理体系：建立环评全流程质量监控体系，明确现状监测数据审核、影响预测模型校验、报告编制审核等关键技术环节质量控制点，严格遵循环评导则及相关行业规范，措施详尽规范得5-6分；质量管理体系完善，能实现全过程监控，基本符合规范要求得3-4分；质量管理体系不够完善，监控措施较简单得1-2分；无质量管理体系得0分。（2）成果保障措施：明确环评报告验收标准（符合审批部门要求、数据真实准确、结论科学合理）、修改完善机制，承诺配合完成评审、报批全流程工作，按时提交符合要求的环评报告及相关附件材料（含监测报告、公众参与材料等），保障措施全面可靠得5-6分；成果验收标准清晰，有修改完善机制，承诺基本可行得3-4分；有基础成果保障说明得1-2分；无成果保障措施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专项保障措施</w:t>
            </w:r>
          </w:p>
        </w:tc>
        <w:tc>
          <w:tcPr>
            <w:tcW w:type="dxa" w:w="2492"/>
          </w:tcPr>
          <w:p>
            <w:pPr>
              <w:pStyle w:val="null3"/>
            </w:pPr>
            <w:r>
              <w:rPr>
                <w:rFonts w:ascii="仿宋_GB2312" w:hAnsi="仿宋_GB2312" w:cs="仿宋_GB2312" w:eastAsia="仿宋_GB2312"/>
              </w:rPr>
              <w:t>拟投入项目团队人员充分，核心成员（环评工程师、环评技术人员等）职责分工明确，提供人员稳定性承诺得6-10分；人员配备较充分，职责分工基本明确得3-5分；人员安排有基本描述得1-2分；未提供得0分。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项目团队实力</w:t>
            </w:r>
          </w:p>
        </w:tc>
        <w:tc>
          <w:tcPr>
            <w:tcW w:type="dxa" w:w="2492"/>
          </w:tcPr>
          <w:p>
            <w:pPr>
              <w:pStyle w:val="null3"/>
            </w:pPr>
            <w:r>
              <w:rPr>
                <w:rFonts w:ascii="仿宋_GB2312" w:hAnsi="仿宋_GB2312" w:cs="仿宋_GB2312" w:eastAsia="仿宋_GB2312"/>
              </w:rPr>
              <w:t>（1）项目负责人具有相关生态类项目环评负责人经验的，得2分；（2）除项目负责人外，团队成员中持有环评工程师职业资格证书或环境类中级及以上职称的，每提供1人得1分，最高得3分；（3）拟派人员须具备环境类中级及以上技术职称，每提供一个得1分，最高得5分（需提供人员资质证书及社保缴纳证明，人员不得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近3年完成的类似业绩</w:t>
            </w:r>
          </w:p>
        </w:tc>
        <w:tc>
          <w:tcPr>
            <w:tcW w:type="dxa" w:w="2492"/>
          </w:tcPr>
          <w:p>
            <w:pPr>
              <w:pStyle w:val="null3"/>
            </w:pPr>
            <w:r>
              <w:rPr>
                <w:rFonts w:ascii="仿宋_GB2312" w:hAnsi="仿宋_GB2312" w:cs="仿宋_GB2312" w:eastAsia="仿宋_GB2312"/>
              </w:rPr>
              <w:t>近3年（以合同签订时间为准）承担过生态类项目环境影响评价技术咨询服务项目的，每提供1个有效业绩（需附合同或审批通过证明复印件加盖公章）得2分，最高得4分。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详见附件：特定资格要求.docx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