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版本号：XNW-2025061.1B120251224001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松树钻蛀类害虫系统调查技术服务项目(二次)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XNW-2025061.1B1</w:t>
      </w:r>
      <w:r>
        <w:br/>
      </w:r>
      <w:r>
        <w:br/>
      </w:r>
      <w:r>
        <w:br/>
      </w:r>
    </w:p>
    <w:p>
      <w:pPr>
        <w:pStyle w:val="null3"/>
        <w:jc w:val="center"/>
        <w:outlineLvl w:val="2"/>
      </w:pPr>
      <w:r>
        <w:rPr>
          <w:rFonts w:ascii="仿宋_GB2312" w:hAnsi="仿宋_GB2312" w:cs="仿宋_GB2312" w:eastAsia="仿宋_GB2312"/>
          <w:sz w:val="28"/>
          <w:b/>
        </w:rPr>
        <w:t>西乡县林业局</w:t>
      </w:r>
    </w:p>
    <w:p>
      <w:pPr>
        <w:pStyle w:val="null3"/>
        <w:jc w:val="center"/>
        <w:outlineLvl w:val="2"/>
      </w:pPr>
      <w:r>
        <w:rPr>
          <w:rFonts w:ascii="仿宋_GB2312" w:hAnsi="仿宋_GB2312" w:cs="仿宋_GB2312" w:eastAsia="仿宋_GB2312"/>
          <w:sz w:val="28"/>
          <w:b/>
        </w:rPr>
        <w:t>陕西旭诺维项目管理有限公司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陕西旭诺维项目管理有限公司</w:t>
      </w:r>
      <w:r>
        <w:rPr>
          <w:rFonts w:ascii="仿宋_GB2312" w:hAnsi="仿宋_GB2312" w:cs="仿宋_GB2312" w:eastAsia="仿宋_GB2312"/>
        </w:rPr>
        <w:t>（以下简称“代理机构”）受</w:t>
      </w:r>
      <w:r>
        <w:rPr>
          <w:rFonts w:ascii="仿宋_GB2312" w:hAnsi="仿宋_GB2312" w:cs="仿宋_GB2312" w:eastAsia="仿宋_GB2312"/>
        </w:rPr>
        <w:t>西乡县林业局</w:t>
      </w:r>
      <w:r>
        <w:rPr>
          <w:rFonts w:ascii="仿宋_GB2312" w:hAnsi="仿宋_GB2312" w:cs="仿宋_GB2312" w:eastAsia="仿宋_GB2312"/>
        </w:rPr>
        <w:t>委托，拟对</w:t>
      </w:r>
      <w:r>
        <w:rPr>
          <w:rFonts w:ascii="仿宋_GB2312" w:hAnsi="仿宋_GB2312" w:cs="仿宋_GB2312" w:eastAsia="仿宋_GB2312"/>
        </w:rPr>
        <w:t>松树钻蛀类害虫系统调查技术服务项目(二次)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XNW-2025061.1B1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松树钻蛀类害虫系统调查技术服务项目(二次)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调查区域：对全县松科植物分布的小班（含散生松科植物）。调查对象：危害松科植物并造成经济或生态损失的钻蛀类害虫，包括天牛类、小蠹虫类、木蠹象类、螟蛾类、吉丁类、树蜂类等；松树钻蛀类害虫的天敌昆虫。</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采购包1（西乡县松树钻蛀类害虫系统调查技术服务项目）：属于专门面向中小企业采购。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1、主体资格：供应商为具有独立承担民事责任能力的法人或其他组织或自然人，并出具营业执照（事业法人证）或证明文件或自然人的身份证明；</w:t>
      </w:r>
    </w:p>
    <w:p>
      <w:pPr>
        <w:pStyle w:val="null3"/>
      </w:pPr>
      <w:r>
        <w:rPr>
          <w:rFonts w:ascii="仿宋_GB2312" w:hAnsi="仿宋_GB2312" w:cs="仿宋_GB2312" w:eastAsia="仿宋_GB2312"/>
        </w:rPr>
        <w:t>2、资格承诺：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3、法定代表人身份证明或法定代表人授权委托书：法定代表人直接参加投标的，须提供法定代表人身份证明；法定代表人授权代表参加投标的，须提供法定代表人授权委托书；</w:t>
      </w:r>
    </w:p>
    <w:p>
      <w:pPr>
        <w:pStyle w:val="null3"/>
      </w:pPr>
      <w:r>
        <w:rPr>
          <w:rFonts w:ascii="仿宋_GB2312" w:hAnsi="仿宋_GB2312" w:cs="仿宋_GB2312" w:eastAsia="仿宋_GB2312"/>
        </w:rPr>
        <w:t>4、资质要求：供应商应具备林业有害生物调查设计丙级及以上资质；</w:t>
      </w:r>
    </w:p>
    <w:p>
      <w:pPr>
        <w:pStyle w:val="null3"/>
      </w:pPr>
      <w:r>
        <w:rPr>
          <w:rFonts w:ascii="仿宋_GB2312" w:hAnsi="仿宋_GB2312" w:cs="仿宋_GB2312" w:eastAsia="仿宋_GB2312"/>
        </w:rPr>
        <w:t>5、本采购包专门面向中小企业采购：本项目为专门面向中小企业采购，投标人应为中型企业或小型、微型企业或监狱企业或残疾人福利性单位。投标人为中型、小型、微型企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西乡县林业局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西乡县城北街道办鹿龄路78号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0916-6321904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陕西旭诺维项目管理有限公司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汉中市汉台区石马路汉菲曼酒店17楼07室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0916-2608638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西乡县政府采购管理股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王文德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13991614866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开户名称：陕西旭诺维项目管理有限公司</w:t>
            </w:r>
          </w:p>
          <w:p>
            <w:pPr>
              <w:pStyle w:val="null3"/>
            </w:pPr>
            <w:r>
              <w:rPr>
                <w:rFonts w:ascii="仿宋_GB2312" w:hAnsi="仿宋_GB2312" w:cs="仿宋_GB2312" w:eastAsia="仿宋_GB2312"/>
              </w:rPr>
              <w:t>开户银行：长安银行股份有限公司汉中莲湖东路支行</w:t>
            </w:r>
          </w:p>
          <w:p>
            <w:pPr>
              <w:pStyle w:val="null3"/>
            </w:pPr>
            <w:r>
              <w:rPr>
                <w:rFonts w:ascii="仿宋_GB2312" w:hAnsi="仿宋_GB2312" w:cs="仿宋_GB2312" w:eastAsia="仿宋_GB2312"/>
              </w:rPr>
              <w:t>银行账号：806060801421 007713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代理服务费收费标准：参照《国家发展改革委关于进一步放开建设项目专业服务价格的通知》（发改价格〔2015〕299号）文收费标准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西乡县林业局</w:t>
      </w:r>
      <w:r>
        <w:rPr>
          <w:rFonts w:ascii="仿宋_GB2312" w:hAnsi="仿宋_GB2312" w:cs="仿宋_GB2312" w:eastAsia="仿宋_GB2312"/>
        </w:rPr>
        <w:t>和</w:t>
      </w:r>
      <w:r>
        <w:rPr>
          <w:rFonts w:ascii="仿宋_GB2312" w:hAnsi="仿宋_GB2312" w:cs="仿宋_GB2312" w:eastAsia="仿宋_GB2312"/>
        </w:rPr>
        <w:t>陕西旭诺维项目管理有限公司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西乡县林业局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陕西旭诺维项目管理有限公司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西乡县林业局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陕西旭诺维项目管理有限公司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陕西旭诺维项目管理有限公司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联系人：郑女士</w:t>
      </w:r>
    </w:p>
    <w:p>
      <w:pPr>
        <w:pStyle w:val="null3"/>
      </w:pPr>
      <w:r>
        <w:rPr>
          <w:rFonts w:ascii="仿宋_GB2312" w:hAnsi="仿宋_GB2312" w:cs="仿宋_GB2312" w:eastAsia="仿宋_GB2312"/>
        </w:rPr>
        <w:t>联系电话：0916-2608638</w:t>
      </w:r>
    </w:p>
    <w:p>
      <w:pPr>
        <w:pStyle w:val="null3"/>
      </w:pPr>
      <w:r>
        <w:rPr>
          <w:rFonts w:ascii="仿宋_GB2312" w:hAnsi="仿宋_GB2312" w:cs="仿宋_GB2312" w:eastAsia="仿宋_GB2312"/>
        </w:rPr>
        <w:t>地址：汉中市汉台区石马路汉菲曼酒店17楼07室</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调查区域：对全县松科植物分布的小班（含散生松科植物）。调查对象：危害松科植物并造成经济或生态损失的钻蛀类害虫，包括天牛类、小蠹虫类、木蠹象类、螟蛾类、吉丁类、树蜂类等；松树钻蛀类害虫的天敌昆虫。</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180,000.00</w:t>
      </w:r>
    </w:p>
    <w:p>
      <w:pPr>
        <w:pStyle w:val="null3"/>
      </w:pPr>
      <w:r>
        <w:rPr>
          <w:rFonts w:ascii="仿宋_GB2312" w:hAnsi="仿宋_GB2312" w:cs="仿宋_GB2312" w:eastAsia="仿宋_GB2312"/>
        </w:rPr>
        <w:t>采购包最高限价（元）: 180,000.00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对西乡县松树钻蛀类害虫系统开展调查工作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标的名称：对西乡县松树钻蛀类害虫系统开展调查工作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一、项目调查范围：</w:t>
            </w:r>
          </w:p>
          <w:p>
            <w:pPr>
              <w:pStyle w:val="null3"/>
              <w:ind w:firstLine="640"/>
              <w:jc w:val="both"/>
            </w:pPr>
            <w:r>
              <w:rPr>
                <w:rFonts w:ascii="仿宋_GB2312" w:hAnsi="仿宋_GB2312" w:cs="仿宋_GB2312" w:eastAsia="仿宋_GB2312"/>
                <w:sz w:val="21"/>
              </w:rPr>
              <w:t>（一）调查区域。全县松科植物分布的小班（含散生松科植物）。</w:t>
            </w:r>
          </w:p>
          <w:p>
            <w:pPr>
              <w:pStyle w:val="null3"/>
              <w:ind w:firstLine="640"/>
              <w:jc w:val="both"/>
            </w:pPr>
            <w:r>
              <w:rPr>
                <w:rFonts w:ascii="仿宋_GB2312" w:hAnsi="仿宋_GB2312" w:cs="仿宋_GB2312" w:eastAsia="仿宋_GB2312"/>
                <w:sz w:val="21"/>
              </w:rPr>
              <w:t>（二）调查对象。危害松科植物并造成经济或生态损失的钻蛀类害虫，包括天牛类、小蠹虫类、木蠹象类、螟蛾类、吉丁类、树蜂类等；松树钻蛀类害虫的天敌昆虫。</w:t>
            </w:r>
          </w:p>
          <w:p>
            <w:pPr>
              <w:pStyle w:val="null3"/>
              <w:ind w:firstLine="640"/>
              <w:jc w:val="both"/>
            </w:pPr>
            <w:r>
              <w:rPr>
                <w:rFonts w:ascii="仿宋_GB2312" w:hAnsi="仿宋_GB2312" w:cs="仿宋_GB2312" w:eastAsia="仿宋_GB2312"/>
                <w:sz w:val="21"/>
              </w:rPr>
              <w:t>二、项目预期成果：</w:t>
            </w:r>
          </w:p>
          <w:p>
            <w:pPr>
              <w:pStyle w:val="null3"/>
              <w:ind w:firstLine="640"/>
              <w:jc w:val="both"/>
            </w:pPr>
            <w:r>
              <w:rPr>
                <w:rFonts w:ascii="仿宋_GB2312" w:hAnsi="仿宋_GB2312" w:cs="仿宋_GB2312" w:eastAsia="仿宋_GB2312"/>
                <w:sz w:val="21"/>
              </w:rPr>
              <w:t>（一）主体成果。调查结果报告、工作报告、实物标本。</w:t>
            </w:r>
          </w:p>
          <w:p>
            <w:pPr>
              <w:pStyle w:val="null3"/>
              <w:ind w:firstLine="640"/>
              <w:jc w:val="both"/>
            </w:pPr>
            <w:r>
              <w:rPr>
                <w:rFonts w:ascii="仿宋_GB2312" w:hAnsi="仿宋_GB2312" w:cs="仿宋_GB2312" w:eastAsia="仿宋_GB2312"/>
                <w:sz w:val="21"/>
              </w:rPr>
              <w:t>（二）数据库成果。包括松树钻蛀类害虫发生数据库、影像库和标本库等，主要松树钻蛀类害虫天敌昆虫影像库、标本库等。</w:t>
            </w:r>
          </w:p>
          <w:p>
            <w:pPr>
              <w:pStyle w:val="null3"/>
              <w:ind w:firstLine="640"/>
              <w:jc w:val="both"/>
            </w:pPr>
            <w:r>
              <w:rPr>
                <w:rFonts w:ascii="仿宋_GB2312" w:hAnsi="仿宋_GB2312" w:cs="仿宋_GB2312" w:eastAsia="仿宋_GB2312"/>
                <w:sz w:val="21"/>
              </w:rPr>
              <w:t>（三）其他成果。形成主要松树钻蛀类害虫名录及图册、主要松树钻蛀类害虫灾害损失及危害风险分级、松树钻蛀类害虫发生趋势及预防与治理策略、主要松树钻蛀类害虫种类系统调查和预测预报技术标准等。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根据采购内容及要求配置。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合同签订之日起至2026年12月31日完成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施工验收合格后一次付清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依照合同约定执行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1、在成交结果公示后，成交供应商向代理机构提交纸质投标文件叁份、分别胶装，加盖骑缝章，电子版U盘贰份，内容和通过电子化交易平台实施的政府采购项目提交的投标文件一致。 2、保证金若以金融机构、担保机构出具的保函形式则须在开标前一个工作日告知采购代理机构。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供应商为具有独立承担民事责任能力的法人或其他组织或自然人，并出具营业执照（事业法人证）或证明文件或自然人的身份证明；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资格承诺</w:t>
            </w:r>
          </w:p>
        </w:tc>
        <w:tc>
          <w:tcPr>
            <w:tcW w:type="dxa" w:w="3322"/>
          </w:tcPr>
          <w:p>
            <w:pPr>
              <w:pStyle w:val="null3"/>
            </w:pPr>
            <w:r>
              <w:rPr>
                <w:rFonts w:ascii="仿宋_GB2312" w:hAnsi="仿宋_GB2312" w:cs="仿宋_GB2312" w:eastAsia="仿宋_GB2312"/>
              </w:rPr>
              <w:t>供应商应具备健全的财务会计制度、履行合同所需的设备和专业技术能力、依法缴纳税收和社会保障资金，以及参加本项目采购活动前3年内经营活动无重大违法记录；供应商未被列入“信用中国”网站(https://www.creditchina.gov.cn)“失信被执行人”“重大税收违法案件当事人名单”中，也未列入“中国政府采购网”(https://www.ccgp.gov.cn)的“政府采购严重违法失信行为记录名单”；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法定代表人直接参加投标的，须提供法定代表人身份证明；法定代表人授权代表参加投标的，须提供法定代表人授权委托书；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供应商应具备林业有害生物调查设计丙级及以上资质；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本项目为专门面向中小企业采购，投标人应为中型企业或小型、微型企业或监狱企业或残疾人福利性单位。投标人为中型、小型、微型企 业的，提供《中小企业声明函》；投标人为监狱企业的，应提供监狱企业的证明文件；投标人为残疾人福利性单位的，应提供《残疾人福利性单位声明函》。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投标文件的计量单位、语言、报价、货币</w:t>
            </w:r>
          </w:p>
        </w:tc>
        <w:tc>
          <w:tcPr>
            <w:tcW w:type="dxa" w:w="3322"/>
          </w:tcPr>
          <w:p>
            <w:pPr>
              <w:pStyle w:val="null3"/>
            </w:pPr>
            <w:r>
              <w:rPr>
                <w:rFonts w:ascii="仿宋_GB2312" w:hAnsi="仿宋_GB2312" w:cs="仿宋_GB2312" w:eastAsia="仿宋_GB2312"/>
              </w:rPr>
              <w:t>计量单位、语言、报价货币符合招标文件规定</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投标内容完整性</w:t>
            </w:r>
          </w:p>
        </w:tc>
        <w:tc>
          <w:tcPr>
            <w:tcW w:type="dxa" w:w="3322"/>
          </w:tcPr>
          <w:p>
            <w:pPr>
              <w:pStyle w:val="null3"/>
            </w:pPr>
            <w:r>
              <w:rPr>
                <w:rFonts w:ascii="仿宋_GB2312" w:hAnsi="仿宋_GB2312" w:cs="仿宋_GB2312" w:eastAsia="仿宋_GB2312"/>
              </w:rPr>
              <w:t>投标内容未出现漏项且与数量要求相符</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不存在其他不符合法律法规或磋商文件规定的响应无效条款的情形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供应商提供2022年1月1日至今完成的类似业绩证明，每提供一份计2.5分，最高计5.0分；（以合同签订日期为准） 注：业绩须是供应商完成的类似项目，以成交通知书或协议书（合同）原件或加盖公章的复印件为准。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配置人员</w:t>
            </w:r>
          </w:p>
        </w:tc>
        <w:tc>
          <w:tcPr>
            <w:tcW w:type="dxa" w:w="2492"/>
          </w:tcPr>
          <w:p>
            <w:pPr>
              <w:pStyle w:val="null3"/>
            </w:pPr>
            <w:r>
              <w:rPr>
                <w:rFonts w:ascii="仿宋_GB2312" w:hAnsi="仿宋_GB2312" w:cs="仿宋_GB2312" w:eastAsia="仿宋_GB2312"/>
              </w:rPr>
              <w:t>供应商针对本项目提出适用于本项目的项目团队配置方案，包括但不限于①团队组织人员配置明细；②团队人员管理制度；③各专业岗位配置；④配置人员相关证书证件及工作经验；⑤提供人员到场及不更换人员承诺。 以上各项内容全面明确、阐述条理清晰得10分，每缺一项扣2分，每项中的内容存在缺陷，扣0.1-1.9分，扣完为止。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供应商针对本项目提出适用于本项目的服务承诺，包括但不限于：①服务质量承诺；②服务承诺（人员到位、后续配合服务计划等方面）。 以上各项内容全面明确、阐述条理清晰得8分，每缺一项扣4分，每项中的内容存在缺陷，扣0.1-3.9分，扣完为止。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供应商针对本项目提出适用于本项目的实施方案。包括但不限于：①服务目标、内容；②服务标准；③服务方法及策略；④工作流程；⑤配合验收方案。 以上各项内容全面明确、阐述条理清晰得20分，每缺一项扣4分，每项中的内容存在缺陷，扣0.1-3.9分，扣完为止。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重难点 分析</w:t>
            </w:r>
          </w:p>
        </w:tc>
        <w:tc>
          <w:tcPr>
            <w:tcW w:type="dxa" w:w="2492"/>
          </w:tcPr>
          <w:p>
            <w:pPr>
              <w:pStyle w:val="null3"/>
            </w:pPr>
            <w:r>
              <w:rPr>
                <w:rFonts w:ascii="仿宋_GB2312" w:hAnsi="仿宋_GB2312" w:cs="仿宋_GB2312" w:eastAsia="仿宋_GB2312"/>
              </w:rPr>
              <w:t>供应商针对本项目报告编制进行重难点分析。包括但不限于：①重难点分析 ②对应解决方案。 以上各项内容全面明确、阐述条理清晰得8分，每缺一项扣4分，每项中的内容存在缺陷，扣0.1-3.9分，扣完为止。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 方案</w:t>
            </w:r>
          </w:p>
        </w:tc>
        <w:tc>
          <w:tcPr>
            <w:tcW w:type="dxa" w:w="2492"/>
          </w:tcPr>
          <w:p>
            <w:pPr>
              <w:pStyle w:val="null3"/>
            </w:pPr>
            <w:r>
              <w:rPr>
                <w:rFonts w:ascii="仿宋_GB2312" w:hAnsi="仿宋_GB2312" w:cs="仿宋_GB2312" w:eastAsia="仿宋_GB2312"/>
              </w:rPr>
              <w:t>供应商针对本项目提出适用于本项目的质量保证方案。包括但不限于：①质量保证体系；②质量保证的具体措施。 以上各项内容全面明确、阐述条理清晰得8分，每缺一项扣4分，每项中的内容存在缺陷，扣0.1-3.9分，扣完为止。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w:t>
            </w:r>
          </w:p>
        </w:tc>
        <w:tc>
          <w:tcPr>
            <w:tcW w:type="dxa" w:w="2492"/>
          </w:tcPr>
          <w:p>
            <w:pPr>
              <w:pStyle w:val="null3"/>
            </w:pPr>
            <w:r>
              <w:rPr>
                <w:rFonts w:ascii="仿宋_GB2312" w:hAnsi="仿宋_GB2312" w:cs="仿宋_GB2312" w:eastAsia="仿宋_GB2312"/>
              </w:rPr>
              <w:t>供应商针对本项目提出适用于本项目的项目实施进度计划，包括但不限于：①项目实施进度计划；②项目进度保障措施。 以上各项内容全面明确、阐述条理清晰得8分，每缺一项扣4分，每项中的内容存在缺陷，扣0.1-3.9分，扣完为止。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供应商针对本项目的具体情况、客户需求等因素针对性提出：①合理化建议；②解决措施。 以上各项内容全面明确、阐述条理清晰得8分，每缺一项扣4分，每项中的内容存在缺陷，扣0.1-3.9分，扣完为止。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供应商针对本项目相关信息制定完整可行的保密措施，具备完善的内部保密制度。包括但不限于:①制度建设；②保密措施。 以上各项内容全面明确、阐述条理清晰得6分，每缺一项扣3分，每项中的内容存在缺陷，扣0.1-2.9分，扣完为止。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成果文档管理的 措施</w:t>
            </w:r>
          </w:p>
        </w:tc>
        <w:tc>
          <w:tcPr>
            <w:tcW w:type="dxa" w:w="2492"/>
          </w:tcPr>
          <w:p>
            <w:pPr>
              <w:pStyle w:val="null3"/>
            </w:pPr>
            <w:r>
              <w:rPr>
                <w:rFonts w:ascii="仿宋_GB2312" w:hAnsi="仿宋_GB2312" w:cs="仿宋_GB2312" w:eastAsia="仿宋_GB2312"/>
              </w:rPr>
              <w:t>供应商针对本项目提出适用于本项目的成果文档管理的措施，包括但不限于:①成果交付资料应真实、有效，符合采购人要求，提供相应承诺；②成果文档管理措施；③成果文档交付方案（包括但不限于以采购人要求提供电子版、文字版成果及修改成果文件的承诺）。 以上各项内容全面明确、阐述条理清晰得9分，每缺一项扣3分，每项中的内容存在缺陷，扣0.1-2.9分，扣完为止。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2、以满足本次磋商文件要求的最低报价为评标基准价，其价格为满分； 3、供应商报价得分=（评标基准价/投标报价）×10 （本项目为专门面向中小企业采购项目，不再执行价格评审优惠扶持政策）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