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版本号：SCZD2025-DY-3107-00120260112001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医用电子直线加速器年度维保采购项目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SCZD2025-DY-3107-001</w:t>
      </w:r>
      <w:r>
        <w:br/>
      </w:r>
      <w:r>
        <w:br/>
      </w:r>
      <w:r>
        <w:br/>
      </w:r>
    </w:p>
    <w:p>
      <w:pPr>
        <w:pStyle w:val="null3"/>
        <w:jc w:val="center"/>
        <w:outlineLvl w:val="5"/>
      </w:pPr>
      <w:r>
        <w:rPr>
          <w:rFonts w:ascii="仿宋_GB2312" w:hAnsi="仿宋_GB2312" w:cs="仿宋_GB2312" w:eastAsia="仿宋_GB2312"/>
          <w:sz w:val="15"/>
          <w:b/>
        </w:rPr>
        <w:t>西乡县人民医院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西乡县人民医院</w:t>
      </w:r>
      <w:r>
        <w:rPr>
          <w:rFonts w:ascii="仿宋_GB2312" w:hAnsi="仿宋_GB2312" w:cs="仿宋_GB2312" w:eastAsia="仿宋_GB2312"/>
        </w:rPr>
        <w:t>委托，拟对</w:t>
      </w:r>
      <w:r>
        <w:rPr>
          <w:rFonts w:ascii="仿宋_GB2312" w:hAnsi="仿宋_GB2312" w:cs="仿宋_GB2312" w:eastAsia="仿宋_GB2312"/>
        </w:rPr>
        <w:t>医用电子直线加速器年度维保采购项目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SCZD2025-DY-3107-001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医用电子直线加速器年度维保采购项目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维保范围为加速器机架部分（不含加速管、磁控管）、加速器床体、控制台、高压脉冲调制器、TPS系统、CT-SIM系统、多叶光栅；不含稳压电源等为加速器配套的外围设备。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投标人应授权合法的人员参加投标全过程，其中法定代表人直接参加响应的，须出具法人身份证，并与营业执照上信息一致。法定代表人授权代表参加响应的，须出具法定代表人授权书及授权代表身份证、授权代表本单位证明（提供授权代表在本单位养老保险缴纳证明）：供应商参加本项目的合法授权人授权委托书； 投标人应授权合法的人员参加投标全过程，其中法定代表人直接参加响应的，须出具法人身份证，并与营业执照上信息一致。法定代表人授权代表参加响应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响应：供应商在递交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响应</w:t>
      </w:r>
    </w:p>
    <w:p>
      <w:pPr>
        <w:pStyle w:val="null3"/>
      </w:pPr>
      <w:r>
        <w:rPr>
          <w:rFonts w:ascii="仿宋_GB2312" w:hAnsi="仿宋_GB2312" w:cs="仿宋_GB2312" w:eastAsia="仿宋_GB2312"/>
        </w:rPr>
        <w:t>3、供应商应具有医疗器械经营许可证或经营备案凭证（维修更换产品须在其经营范围内）：供应商应具有医疗器械经营许可证或经营备案凭证（维修更换产品须在其经营范围内）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城南街道办河滨路2号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0916-6324309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代理服务费收费标准：与采购人约定，定额收取5000元。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西乡县人民医院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西乡县人民医院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color w:val="000000"/>
        </w:rPr>
        <w:t>维保范围为加速器机架部分（不含加速管、磁控管）、加速器床体、控制台、高压脉冲调制器、TPS系统、CT-SIM系统、多叶光栅；不含稳压电源等为加速器配套的外围设备。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1.维保范围为加速器机架部分（不含加速管、磁控管）、加速器床体、控制台、高压脉冲调制器、TPS系统、CT-SIM系统、多叶光栅；不含稳压电源等为加速器配套的外围设备。</w:t>
            </w:r>
          </w:p>
          <w:p>
            <w:pPr>
              <w:pStyle w:val="null3"/>
            </w:pPr>
            <w:r>
              <w:rPr>
                <w:rFonts w:ascii="仿宋_GB2312" w:hAnsi="仿宋_GB2312" w:cs="仿宋_GB2312" w:eastAsia="仿宋_GB2312"/>
              </w:rPr>
              <w:t>2.提供全年365天的800或400电话技术服务支持，且有在线专业远程支持工程师。电话响应时间≤1小时，24小时内到达现场。</w:t>
            </w:r>
          </w:p>
          <w:p>
            <w:pPr>
              <w:pStyle w:val="null3"/>
            </w:pPr>
            <w:r>
              <w:rPr>
                <w:rFonts w:ascii="仿宋_GB2312" w:hAnsi="仿宋_GB2312" w:cs="仿宋_GB2312" w:eastAsia="仿宋_GB2312"/>
              </w:rPr>
              <w:t>3.所更换的配件必须全新且保证供货渠道合法合规，并提供文件材料。</w:t>
            </w:r>
          </w:p>
          <w:p>
            <w:pPr>
              <w:pStyle w:val="null3"/>
            </w:pPr>
            <w:r>
              <w:rPr>
                <w:rFonts w:ascii="仿宋_GB2312" w:hAnsi="仿宋_GB2312" w:cs="仿宋_GB2312" w:eastAsia="仿宋_GB2312"/>
              </w:rPr>
              <w:t>4.服务期限内保养次数：≥2次/年，保证设备符合生产厂家标准或国家质量监督部门以及卫生监督部门的标准要求，必须提供保养内容及保养标准详细清单，并出具正式报告。</w:t>
            </w:r>
          </w:p>
          <w:p>
            <w:pPr>
              <w:pStyle w:val="null3"/>
            </w:pPr>
            <w:r>
              <w:rPr>
                <w:rFonts w:ascii="仿宋_GB2312" w:hAnsi="仿宋_GB2312" w:cs="仿宋_GB2312" w:eastAsia="仿宋_GB2312"/>
              </w:rPr>
              <w:t>5.维护保养内容包括但不限于设备的安全检查、影像质量检查、设备除尘保养、运行状态检查等。</w:t>
            </w:r>
          </w:p>
          <w:p>
            <w:pPr>
              <w:pStyle w:val="null3"/>
            </w:pPr>
            <w:r>
              <w:rPr>
                <w:rFonts w:ascii="仿宋_GB2312" w:hAnsi="仿宋_GB2312" w:cs="仿宋_GB2312" w:eastAsia="仿宋_GB2312"/>
              </w:rPr>
              <w:t>6.可提供远程全天24小时不间断监测设备运行状况服务，提前预警，并提供远程预警监控处理案例。</w:t>
            </w:r>
          </w:p>
          <w:p>
            <w:pPr>
              <w:pStyle w:val="null3"/>
            </w:pPr>
            <w:r>
              <w:rPr>
                <w:rFonts w:ascii="仿宋_GB2312" w:hAnsi="仿宋_GB2312" w:cs="仿宋_GB2312" w:eastAsia="仿宋_GB2312"/>
              </w:rPr>
              <w:t>7.供应商在省内有售后工程师，并且售后工程师均具有设备厂家经考核合格的、在有效期的原厂服务资质认证。</w:t>
            </w:r>
          </w:p>
          <w:p>
            <w:pPr>
              <w:pStyle w:val="null3"/>
            </w:pPr>
            <w:r>
              <w:rPr>
                <w:rFonts w:ascii="仿宋_GB2312" w:hAnsi="仿宋_GB2312" w:cs="仿宋_GB2312" w:eastAsia="仿宋_GB2312"/>
              </w:rPr>
              <w:t>8.供应商须具备保证设备维修及时性的能力，并对急用性要求高的备件具有一定的即时供应能力，须在中国大陆准备同型号设备备件的库存，以保证提供及时准确的原厂认证合格备件供应。在西北有备件库，储备有常规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项目维保完成后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投标人应授权合法的人员参加投标全过程，其中法定代表人直接参加响应的，须出具法人身份证，并与营业执照上信息一致。法定代表人授权代表参加响应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投标人应授权合法的人员参加投标全过程，其中法定代表人直接参加响应的，须出具法人身份证，并与营业执照上信息一致。法定代表人授权代表参加响应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响应</w:t>
            </w:r>
          </w:p>
        </w:tc>
        <w:tc>
          <w:tcPr>
            <w:tcW w:type="dxa" w:w="3322"/>
          </w:tcPr>
          <w:p>
            <w:pPr>
              <w:pStyle w:val="null3"/>
            </w:pPr>
            <w:r>
              <w:rPr>
                <w:rFonts w:ascii="仿宋_GB2312" w:hAnsi="仿宋_GB2312" w:cs="仿宋_GB2312" w:eastAsia="仿宋_GB2312"/>
              </w:rPr>
              <w:t>供应商在递交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供应商应具有医疗器械经营许可证或经营备案凭证（维修更换产品须在其经营范围内）</w:t>
            </w:r>
          </w:p>
        </w:tc>
        <w:tc>
          <w:tcPr>
            <w:tcW w:type="dxa" w:w="3322"/>
          </w:tcPr>
          <w:p>
            <w:pPr>
              <w:pStyle w:val="null3"/>
            </w:pPr>
            <w:r>
              <w:rPr>
                <w:rFonts w:ascii="仿宋_GB2312" w:hAnsi="仿宋_GB2312" w:cs="仿宋_GB2312" w:eastAsia="仿宋_GB2312"/>
              </w:rPr>
              <w:t>供应商应具有医疗器械经营许可证或经营备案凭证（维修更换产品须在其经营范围内）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采购内容没有缺项、漏项</w:t>
            </w:r>
          </w:p>
        </w:tc>
        <w:tc>
          <w:tcPr>
            <w:tcW w:type="dxa" w:w="3322"/>
          </w:tcPr>
          <w:p>
            <w:pPr>
              <w:pStyle w:val="null3"/>
            </w:pPr>
            <w:r>
              <w:rPr>
                <w:rFonts w:ascii="仿宋_GB2312" w:hAnsi="仿宋_GB2312" w:cs="仿宋_GB2312" w:eastAsia="仿宋_GB2312"/>
              </w:rPr>
              <w:t>采购内容没有缺项、漏项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没有法律不允许的其他情形</w:t>
            </w:r>
          </w:p>
        </w:tc>
        <w:tc>
          <w:tcPr>
            <w:tcW w:type="dxa" w:w="3322"/>
          </w:tcPr>
          <w:p>
            <w:pPr>
              <w:pStyle w:val="null3"/>
            </w:pPr>
            <w:r>
              <w:rPr>
                <w:rFonts w:ascii="仿宋_GB2312" w:hAnsi="仿宋_GB2312" w:cs="仿宋_GB2312" w:eastAsia="仿宋_GB2312"/>
              </w:rPr>
              <w:t>没有法律不允许的其他情形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