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版本号：HZ-J2025064C20251208002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子午镇沿江防洪排涝工程建设项目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HZ-J2025064C</w:t>
      </w:r>
      <w:r>
        <w:br/>
      </w:r>
      <w:r>
        <w:br/>
      </w:r>
      <w:r>
        <w:br/>
      </w:r>
    </w:p>
    <w:p>
      <w:pPr>
        <w:pStyle w:val="null3"/>
        <w:jc w:val="center"/>
        <w:outlineLvl w:val="2"/>
      </w:pPr>
      <w:r>
        <w:rPr>
          <w:rFonts w:ascii="仿宋_GB2312" w:hAnsi="仿宋_GB2312" w:cs="仿宋_GB2312" w:eastAsia="仿宋_GB2312"/>
          <w:sz w:val="28"/>
          <w:b/>
        </w:rPr>
        <w:t>西乡县子午镇人民政府</w:t>
      </w:r>
    </w:p>
    <w:p>
      <w:pPr>
        <w:pStyle w:val="null3"/>
        <w:jc w:val="center"/>
        <w:outlineLvl w:val="2"/>
      </w:pPr>
      <w:r>
        <w:rPr>
          <w:rFonts w:ascii="仿宋_GB2312" w:hAnsi="仿宋_GB2312" w:cs="仿宋_GB2312" w:eastAsia="仿宋_GB2312"/>
          <w:sz w:val="28"/>
          <w:b/>
        </w:rPr>
        <w:t>陕西汉正项目管理有限公司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陕西汉正项目管理有限公司</w:t>
      </w:r>
      <w:r>
        <w:rPr>
          <w:rFonts w:ascii="仿宋_GB2312" w:hAnsi="仿宋_GB2312" w:cs="仿宋_GB2312" w:eastAsia="仿宋_GB2312"/>
        </w:rPr>
        <w:t>（以下简称“代理机构”）受</w:t>
      </w:r>
      <w:r>
        <w:rPr>
          <w:rFonts w:ascii="仿宋_GB2312" w:hAnsi="仿宋_GB2312" w:cs="仿宋_GB2312" w:eastAsia="仿宋_GB2312"/>
        </w:rPr>
        <w:t>西乡县子午镇人民政府</w:t>
      </w:r>
      <w:r>
        <w:rPr>
          <w:rFonts w:ascii="仿宋_GB2312" w:hAnsi="仿宋_GB2312" w:cs="仿宋_GB2312" w:eastAsia="仿宋_GB2312"/>
        </w:rPr>
        <w:t>委托，拟对</w:t>
      </w:r>
      <w:r>
        <w:rPr>
          <w:rFonts w:ascii="仿宋_GB2312" w:hAnsi="仿宋_GB2312" w:cs="仿宋_GB2312" w:eastAsia="仿宋_GB2312"/>
        </w:rPr>
        <w:t>子午镇沿江防洪排涝工程建设项目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HZ-J2025064C</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子午镇沿江防洪排涝工程建设项目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主要施工内容:子午镇沿江防洪排涝工程建设项目建设地点位于子午镇段家营大桥至七里沟桥，路段全长2.245Km。主线起点为罗家院村河口，接S103西青线，终点为七里沟桥，接三子路，全长2.245Km，全线旧路面为水泥混凝土路面，路面宽度5.0m，路基宽度5.5m，旧路面结构层为 20cm 水泥混凝土面层+18cm 水泥稳定砂砾基层。村道长0.162Km，旧路面为水泥混凝土路面，路面宽度4.5m，路基宽度5.0m，旧路面结构层为20cm 水泥混凝土面层+18cm水泥稳定砂砾基层等。（具体内容详见图纸和工程量清单）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采购包1（子午镇沿江防洪排涝工程建设项目）：属于专门面向中小企业采购。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1、有效的主体资格证明：供应商为具有独立承担民事责任能力的企业法人、负责人或其他组织或自然人，并出具有效的营业执照或证明文件或自然人的身份证明。</w:t>
      </w:r>
    </w:p>
    <w:p>
      <w:pPr>
        <w:pStyle w:val="null3"/>
      </w:pPr>
      <w:r>
        <w:rPr>
          <w:rFonts w:ascii="仿宋_GB2312" w:hAnsi="仿宋_GB2312" w:cs="仿宋_GB2312" w:eastAsia="仿宋_GB2312"/>
        </w:rPr>
        <w:t>2、授权代表身份证明：供应商应授权合法的人员参加本项目磋商活动全过程，其中法定代表人直接参加磋商活动的，应出具法定代表人证明书及法定代表人合法有效的身份证扫描件，且应与营业执照上信息一致；法定代表人授权代表参加磋商活动的，应出具法定代表人证明书、法定代表人授权书及授权代表合法有效的身份证扫描件。</w:t>
      </w:r>
    </w:p>
    <w:p>
      <w:pPr>
        <w:pStyle w:val="null3"/>
      </w:pPr>
      <w:r>
        <w:rPr>
          <w:rFonts w:ascii="仿宋_GB2312" w:hAnsi="仿宋_GB2312" w:cs="仿宋_GB2312" w:eastAsia="仿宋_GB2312"/>
        </w:rPr>
        <w:t>3、汉中市政府采购供应商资格承诺函：供应商须提供《汉中市政府采购供应商资格承诺函》。</w:t>
      </w:r>
    </w:p>
    <w:p>
      <w:pPr>
        <w:pStyle w:val="null3"/>
      </w:pPr>
      <w:r>
        <w:rPr>
          <w:rFonts w:ascii="仿宋_GB2312" w:hAnsi="仿宋_GB2312" w:cs="仿宋_GB2312" w:eastAsia="仿宋_GB2312"/>
        </w:rPr>
        <w:t>4、企业资质要求：供应商须具有行政主管部门核发的公路工程施工总承包三级（含三级）及以上资质，并具有有效的安全生产许可证。</w:t>
      </w:r>
    </w:p>
    <w:p>
      <w:pPr>
        <w:pStyle w:val="null3"/>
      </w:pPr>
      <w:r>
        <w:rPr>
          <w:rFonts w:ascii="仿宋_GB2312" w:hAnsi="仿宋_GB2312" w:cs="仿宋_GB2312" w:eastAsia="仿宋_GB2312"/>
        </w:rPr>
        <w:t>5、项目经理资质要求：拟派本项目的项目经理须具备公路工程专业二级（含二级）及以上注册建造师，并持有效的安全生产考核合格证书，且无在建工程(出具无在建承诺书）。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西乡县子午镇人民政府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陕西省汉中市西乡县子午镇三花石街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邓先生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0916-6388001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陕西汉正项目管理有限公司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陕西省西安市高新区科技二路71号竹园天寰国际 1706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钱翔、王佳丽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029-81113631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华老师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0916-8151150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采购包1：1,911,850.00元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42.5级水泥</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说明：合同签订后，施工单位应向监理方提交完整的开工资料和履约保证金凭证（合同价的3%） 。</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原国家计委关于印发《采购代理服务收费管理暂行办法的通知》（计价格[2002]1980号）、《国家发展改革委员会办公厅关于招标代理服务收费有关问题的通知》（发改办价格〔2003〕857号）以及《国家发展改革委关于降低部分建设项目收费标准规范收费行为等有关问题的通知》(发改价格〔2011〕534号)的标准计取（以中标/成交金额结算）。 2.采购代理服务费缴纳账户：账户名称：陕西汉正项目管理有限公司；开户行：中国建设银行股份有限公司西安科技二路支行；账号：6105 0110 7710 0000 0926</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西乡县子午镇人民政府</w:t>
      </w:r>
      <w:r>
        <w:rPr>
          <w:rFonts w:ascii="仿宋_GB2312" w:hAnsi="仿宋_GB2312" w:cs="仿宋_GB2312" w:eastAsia="仿宋_GB2312"/>
        </w:rPr>
        <w:t>和</w:t>
      </w:r>
      <w:r>
        <w:rPr>
          <w:rFonts w:ascii="仿宋_GB2312" w:hAnsi="仿宋_GB2312" w:cs="仿宋_GB2312" w:eastAsia="仿宋_GB2312"/>
        </w:rPr>
        <w:t>陕西汉正项目管理有限公司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西乡县子午镇人民政府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陕西汉正项目管理有限公司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西乡县子午镇人民政府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陕西汉正项目管理有限公司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陕西汉正项目管理有限公司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陕西汉正项目管理有限公司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陕西汉正项目管理有限公司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联系人：王佳丽</w:t>
      </w:r>
    </w:p>
    <w:p>
      <w:pPr>
        <w:pStyle w:val="null3"/>
      </w:pPr>
      <w:r>
        <w:rPr>
          <w:rFonts w:ascii="仿宋_GB2312" w:hAnsi="仿宋_GB2312" w:cs="仿宋_GB2312" w:eastAsia="仿宋_GB2312"/>
        </w:rPr>
        <w:t>联系电话：029-81113631</w:t>
      </w:r>
    </w:p>
    <w:p>
      <w:pPr>
        <w:pStyle w:val="null3"/>
      </w:pPr>
      <w:r>
        <w:rPr>
          <w:rFonts w:ascii="仿宋_GB2312" w:hAnsi="仿宋_GB2312" w:cs="仿宋_GB2312" w:eastAsia="仿宋_GB2312"/>
        </w:rPr>
        <w:t>地址：陕西省西安市高新区科技二路71号竹园天寰国际 1706 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1,911,850.00</w:t>
      </w:r>
    </w:p>
    <w:p>
      <w:pPr>
        <w:pStyle w:val="null3"/>
      </w:pPr>
      <w:r>
        <w:rPr>
          <w:rFonts w:ascii="仿宋_GB2312" w:hAnsi="仿宋_GB2312" w:cs="仿宋_GB2312" w:eastAsia="仿宋_GB2312"/>
        </w:rPr>
        <w:t>采购包最高限价（元）: 1,911,850.00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防洪排涝工程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1,911,850.00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标的名称：防洪排涝工程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rPr>
              <w:t>一、工程概况：</w:t>
            </w:r>
          </w:p>
          <w:p>
            <w:pPr>
              <w:pStyle w:val="null3"/>
              <w:jc w:val="both"/>
            </w:pPr>
            <w:r>
              <w:rPr>
                <w:rFonts w:ascii="仿宋_GB2312" w:hAnsi="仿宋_GB2312" w:cs="仿宋_GB2312" w:eastAsia="仿宋_GB2312"/>
                <w:sz w:val="20"/>
              </w:rPr>
              <w:t xml:space="preserve">  建设主要内容如下：子午镇沿江防洪排涝工程</w:t>
            </w:r>
            <w:r>
              <w:rPr>
                <w:rFonts w:ascii="仿宋_GB2312" w:hAnsi="仿宋_GB2312" w:cs="仿宋_GB2312" w:eastAsia="仿宋_GB2312"/>
                <w:sz w:val="20"/>
              </w:rPr>
              <w:t>建设项目</w:t>
            </w:r>
            <w:r>
              <w:rPr>
                <w:rFonts w:ascii="仿宋_GB2312" w:hAnsi="仿宋_GB2312" w:cs="仿宋_GB2312" w:eastAsia="仿宋_GB2312"/>
                <w:sz w:val="20"/>
              </w:rPr>
              <w:t>建设地点位于</w:t>
            </w:r>
            <w:r>
              <w:rPr>
                <w:rFonts w:ascii="仿宋_GB2312" w:hAnsi="仿宋_GB2312" w:cs="仿宋_GB2312" w:eastAsia="仿宋_GB2312"/>
                <w:sz w:val="20"/>
              </w:rPr>
              <w:t>子午镇段家营大桥至七里沟桥</w:t>
            </w:r>
            <w:r>
              <w:rPr>
                <w:rFonts w:ascii="仿宋_GB2312" w:hAnsi="仿宋_GB2312" w:cs="仿宋_GB2312" w:eastAsia="仿宋_GB2312"/>
                <w:sz w:val="20"/>
              </w:rPr>
              <w:t>，路段全长</w:t>
            </w:r>
            <w:r>
              <w:rPr>
                <w:rFonts w:ascii="仿宋_GB2312" w:hAnsi="仿宋_GB2312" w:cs="仿宋_GB2312" w:eastAsia="仿宋_GB2312"/>
                <w:sz w:val="20"/>
              </w:rPr>
              <w:t>2.245Km。主线起点为罗家院村河口，接S103西青线，终点为七里沟桥，接三子路，全长2.245Km，全线旧路面为水泥混凝土路面，路面宽度5.0m，路基宽度5.5m，旧路面结构层为 20cm 水泥混凝土面层+18cm 水泥稳定砂砾基层。村道长0.162Km，旧路面为水泥混凝土路面，路面宽度4.5m，路基宽度5.0m，旧路面结构层为20cm 水泥混凝土面层+18cm水泥稳定砂砾基层等。</w:t>
            </w:r>
            <w:r>
              <w:rPr>
                <w:rFonts w:ascii="仿宋_GB2312" w:hAnsi="仿宋_GB2312" w:cs="仿宋_GB2312" w:eastAsia="仿宋_GB2312"/>
                <w:sz w:val="20"/>
              </w:rPr>
              <w:t>（</w:t>
            </w:r>
            <w:r>
              <w:rPr>
                <w:rFonts w:ascii="仿宋_GB2312" w:hAnsi="仿宋_GB2312" w:cs="仿宋_GB2312" w:eastAsia="仿宋_GB2312"/>
                <w:sz w:val="20"/>
              </w:rPr>
              <w:t>具体内容详见图纸和工程量清单</w:t>
            </w:r>
            <w:r>
              <w:rPr>
                <w:rFonts w:ascii="仿宋_GB2312" w:hAnsi="仿宋_GB2312" w:cs="仿宋_GB2312" w:eastAsia="仿宋_GB2312"/>
                <w:sz w:val="20"/>
              </w:rPr>
              <w:t>）</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0"/>
              </w:rPr>
              <w:t>二、</w:t>
            </w:r>
            <w:r>
              <w:rPr>
                <w:rFonts w:ascii="仿宋_GB2312" w:hAnsi="仿宋_GB2312" w:cs="仿宋_GB2312" w:eastAsia="仿宋_GB2312"/>
                <w:sz w:val="20"/>
              </w:rPr>
              <w:t>编制依据：</w:t>
            </w:r>
            <w:r>
              <w:br/>
            </w:r>
            <w:r>
              <w:rPr>
                <w:rFonts w:ascii="仿宋_GB2312" w:hAnsi="仿宋_GB2312" w:cs="仿宋_GB2312" w:eastAsia="仿宋_GB2312"/>
                <w:sz w:val="20"/>
              </w:rPr>
              <w:t xml:space="preserve">  </w:t>
            </w:r>
            <w:r>
              <w:rPr>
                <w:rFonts w:ascii="仿宋_GB2312" w:hAnsi="仿宋_GB2312" w:cs="仿宋_GB2312" w:eastAsia="仿宋_GB2312"/>
                <w:sz w:val="20"/>
              </w:rPr>
              <w:t>1、</w:t>
            </w:r>
            <w:r>
              <w:rPr>
                <w:rFonts w:ascii="仿宋_GB2312" w:hAnsi="仿宋_GB2312" w:cs="仿宋_GB2312" w:eastAsia="仿宋_GB2312"/>
                <w:sz w:val="20"/>
              </w:rPr>
              <w:t>子午镇沿江防洪排涝工程建设项目</w:t>
            </w:r>
            <w:r>
              <w:rPr>
                <w:rFonts w:ascii="仿宋_GB2312" w:hAnsi="仿宋_GB2312" w:cs="仿宋_GB2312" w:eastAsia="仿宋_GB2312"/>
                <w:sz w:val="20"/>
              </w:rPr>
              <w:t>施工图纸；</w:t>
            </w:r>
          </w:p>
          <w:p>
            <w:pPr>
              <w:pStyle w:val="null3"/>
              <w:ind w:firstLine="200"/>
            </w:pPr>
            <w:r>
              <w:rPr>
                <w:rFonts w:ascii="仿宋_GB2312" w:hAnsi="仿宋_GB2312" w:cs="仿宋_GB2312" w:eastAsia="仿宋_GB2312"/>
                <w:sz w:val="20"/>
              </w:rPr>
              <w:t>2</w:t>
            </w:r>
            <w:r>
              <w:rPr>
                <w:rFonts w:ascii="仿宋_GB2312" w:hAnsi="仿宋_GB2312" w:cs="仿宋_GB2312" w:eastAsia="仿宋_GB2312"/>
                <w:sz w:val="20"/>
              </w:rPr>
              <w:t>、《公路工程建设项目概算预算编制办法》（</w:t>
            </w:r>
            <w:r>
              <w:rPr>
                <w:rFonts w:ascii="仿宋_GB2312" w:hAnsi="仿宋_GB2312" w:cs="仿宋_GB2312" w:eastAsia="仿宋_GB2312"/>
                <w:sz w:val="20"/>
              </w:rPr>
              <w:t>JTG3830——2018），以下简称“编制办法”；</w:t>
            </w:r>
          </w:p>
          <w:p>
            <w:pPr>
              <w:pStyle w:val="null3"/>
              <w:ind w:firstLine="200"/>
            </w:pPr>
            <w:r>
              <w:rPr>
                <w:rFonts w:ascii="仿宋_GB2312" w:hAnsi="仿宋_GB2312" w:cs="仿宋_GB2312" w:eastAsia="仿宋_GB2312"/>
                <w:sz w:val="20"/>
              </w:rPr>
              <w:t>3</w:t>
            </w:r>
            <w:r>
              <w:rPr>
                <w:rFonts w:ascii="仿宋_GB2312" w:hAnsi="仿宋_GB2312" w:cs="仿宋_GB2312" w:eastAsia="仿宋_GB2312"/>
                <w:sz w:val="20"/>
              </w:rPr>
              <w:t>、《陕西省交通厅关于执行交通部公路工程概算预算定额及编制办法的通知》（陕交发</w:t>
            </w:r>
            <w:r>
              <w:rPr>
                <w:rFonts w:ascii="仿宋_GB2312" w:hAnsi="仿宋_GB2312" w:cs="仿宋_GB2312" w:eastAsia="仿宋_GB2312"/>
                <w:sz w:val="20"/>
              </w:rPr>
              <w:t>[2008]117号）；</w:t>
            </w:r>
          </w:p>
          <w:p>
            <w:pPr>
              <w:pStyle w:val="null3"/>
              <w:ind w:firstLine="200"/>
            </w:pPr>
            <w:r>
              <w:rPr>
                <w:rFonts w:ascii="仿宋_GB2312" w:hAnsi="仿宋_GB2312" w:cs="仿宋_GB2312" w:eastAsia="仿宋_GB2312"/>
                <w:sz w:val="20"/>
              </w:rPr>
              <w:t>4</w:t>
            </w:r>
            <w:r>
              <w:rPr>
                <w:rFonts w:ascii="仿宋_GB2312" w:hAnsi="仿宋_GB2312" w:cs="仿宋_GB2312" w:eastAsia="仿宋_GB2312"/>
                <w:sz w:val="20"/>
              </w:rPr>
              <w:t>、《公路工程预算定额》（</w:t>
            </w:r>
            <w:r>
              <w:rPr>
                <w:rFonts w:ascii="仿宋_GB2312" w:hAnsi="仿宋_GB2312" w:cs="仿宋_GB2312" w:eastAsia="仿宋_GB2312"/>
                <w:sz w:val="20"/>
              </w:rPr>
              <w:t>JTG/T 3832——2018）；</w:t>
            </w:r>
          </w:p>
          <w:p>
            <w:pPr>
              <w:pStyle w:val="null3"/>
              <w:ind w:firstLine="200"/>
            </w:pPr>
            <w:r>
              <w:rPr>
                <w:rFonts w:ascii="仿宋_GB2312" w:hAnsi="仿宋_GB2312" w:cs="仿宋_GB2312" w:eastAsia="仿宋_GB2312"/>
                <w:sz w:val="20"/>
              </w:rPr>
              <w:t>5</w:t>
            </w:r>
            <w:r>
              <w:rPr>
                <w:rFonts w:ascii="仿宋_GB2312" w:hAnsi="仿宋_GB2312" w:cs="仿宋_GB2312" w:eastAsia="仿宋_GB2312"/>
                <w:sz w:val="20"/>
              </w:rPr>
              <w:t>、《公路工程机械台班费用定额》（</w:t>
            </w:r>
            <w:r>
              <w:rPr>
                <w:rFonts w:ascii="仿宋_GB2312" w:hAnsi="仿宋_GB2312" w:cs="仿宋_GB2312" w:eastAsia="仿宋_GB2312"/>
                <w:sz w:val="20"/>
              </w:rPr>
              <w:t>JTG/T 3833——2018）；</w:t>
            </w:r>
          </w:p>
          <w:p>
            <w:pPr>
              <w:pStyle w:val="null3"/>
              <w:ind w:firstLine="200"/>
            </w:pPr>
            <w:r>
              <w:rPr>
                <w:rFonts w:ascii="仿宋_GB2312" w:hAnsi="仿宋_GB2312" w:cs="仿宋_GB2312" w:eastAsia="仿宋_GB2312"/>
                <w:sz w:val="20"/>
              </w:rPr>
              <w:t>6、《陕西省公路养护工程预算编制办法》（陕交发（2012）40 号），以下简称“编制办法”</w:t>
            </w:r>
            <w:r>
              <w:rPr>
                <w:rFonts w:ascii="仿宋_GB2312" w:hAnsi="仿宋_GB2312" w:cs="仿宋_GB2312" w:eastAsia="仿宋_GB2312"/>
                <w:sz w:val="20"/>
              </w:rPr>
              <w:t>；</w:t>
            </w:r>
          </w:p>
          <w:p>
            <w:pPr>
              <w:pStyle w:val="null3"/>
              <w:ind w:firstLine="200"/>
            </w:pPr>
            <w:r>
              <w:rPr>
                <w:rFonts w:ascii="仿宋_GB2312" w:hAnsi="仿宋_GB2312" w:cs="仿宋_GB2312" w:eastAsia="仿宋_GB2312"/>
                <w:sz w:val="20"/>
              </w:rPr>
              <w:t>7、《陕西省公路养护工程预算定额》，《陕西省公路养护工程机械台班费用定额》。</w:t>
            </w:r>
          </w:p>
          <w:p>
            <w:pPr>
              <w:pStyle w:val="null3"/>
              <w:ind w:firstLine="200"/>
            </w:pPr>
            <w:r>
              <w:rPr>
                <w:rFonts w:ascii="仿宋_GB2312" w:hAnsi="仿宋_GB2312" w:cs="仿宋_GB2312" w:eastAsia="仿宋_GB2312"/>
                <w:sz w:val="20"/>
              </w:rPr>
              <w:t>8</w:t>
            </w:r>
            <w:r>
              <w:rPr>
                <w:rFonts w:ascii="仿宋_GB2312" w:hAnsi="仿宋_GB2312" w:cs="仿宋_GB2312" w:eastAsia="仿宋_GB2312"/>
                <w:sz w:val="20"/>
              </w:rPr>
              <w:t>、交通运输部办公厅关于《公路工程营业税改征增值税计价依据调整方案》的通知（交办公路</w:t>
            </w:r>
            <w:r>
              <w:rPr>
                <w:rFonts w:ascii="仿宋_GB2312" w:hAnsi="仿宋_GB2312" w:cs="仿宋_GB2312" w:eastAsia="仿宋_GB2312"/>
                <w:sz w:val="20"/>
              </w:rPr>
              <w:t>[2016]66号）；</w:t>
            </w:r>
          </w:p>
          <w:p>
            <w:pPr>
              <w:pStyle w:val="null3"/>
              <w:ind w:firstLine="200"/>
            </w:pPr>
            <w:r>
              <w:rPr>
                <w:rFonts w:ascii="仿宋_GB2312" w:hAnsi="仿宋_GB2312" w:cs="仿宋_GB2312" w:eastAsia="仿宋_GB2312"/>
                <w:sz w:val="20"/>
              </w:rPr>
              <w:t>9</w:t>
            </w:r>
            <w:r>
              <w:rPr>
                <w:rFonts w:ascii="仿宋_GB2312" w:hAnsi="仿宋_GB2312" w:cs="仿宋_GB2312" w:eastAsia="仿宋_GB2312"/>
                <w:sz w:val="20"/>
              </w:rPr>
              <w:t>、陕西省交通运输厅关于执行交通运输部《公路工程营业税改增值税计价依据调整方案》的通知（陕交函</w:t>
            </w:r>
            <w:r>
              <w:rPr>
                <w:rFonts w:ascii="仿宋_GB2312" w:hAnsi="仿宋_GB2312" w:cs="仿宋_GB2312" w:eastAsia="仿宋_GB2312"/>
                <w:sz w:val="20"/>
              </w:rPr>
              <w:t>[2016]475号）；</w:t>
            </w:r>
          </w:p>
          <w:p>
            <w:pPr>
              <w:pStyle w:val="null3"/>
              <w:ind w:firstLine="200"/>
            </w:pPr>
            <w:r>
              <w:rPr>
                <w:rFonts w:ascii="仿宋_GB2312" w:hAnsi="仿宋_GB2312" w:cs="仿宋_GB2312" w:eastAsia="仿宋_GB2312"/>
                <w:sz w:val="20"/>
              </w:rPr>
              <w:t>10</w:t>
            </w:r>
            <w:r>
              <w:rPr>
                <w:rFonts w:ascii="仿宋_GB2312" w:hAnsi="仿宋_GB2312" w:cs="仿宋_GB2312" w:eastAsia="仿宋_GB2312"/>
                <w:sz w:val="20"/>
              </w:rPr>
              <w:t>、交通运输部关于调整《公路工程建设项目投资估算编制办法》（</w:t>
            </w:r>
            <w:r>
              <w:rPr>
                <w:rFonts w:ascii="仿宋_GB2312" w:hAnsi="仿宋_GB2312" w:cs="仿宋_GB2312" w:eastAsia="仿宋_GB2312"/>
                <w:sz w:val="20"/>
              </w:rPr>
              <w:t>JTG 3820——2018）和《公路工程建设项目概算预算编制办法》（JTG 3820——2018）中“税金”有关规定的公告（交办公路[2019]26号）；</w:t>
            </w:r>
          </w:p>
          <w:p>
            <w:pPr>
              <w:pStyle w:val="null3"/>
              <w:jc w:val="both"/>
            </w:pPr>
            <w:r>
              <w:rPr>
                <w:rFonts w:ascii="仿宋_GB2312" w:hAnsi="仿宋_GB2312" w:cs="仿宋_GB2312" w:eastAsia="仿宋_GB2312"/>
                <w:sz w:val="20"/>
              </w:rPr>
              <w:t xml:space="preserve"> 11</w:t>
            </w:r>
            <w:r>
              <w:rPr>
                <w:rFonts w:ascii="仿宋_GB2312" w:hAnsi="仿宋_GB2312" w:cs="仿宋_GB2312" w:eastAsia="仿宋_GB2312"/>
                <w:sz w:val="20"/>
              </w:rPr>
              <w:t>、交通运输部关于发布《公路工程建设项目投资估算编制办法》《公路工程建设项目概算预算编制办法》及《公路工程估算指标》《公路工程概算定额》《公路工程预算定额》《公路工程机械台班费用定额》</w:t>
            </w:r>
            <w:r>
              <w:rPr>
                <w:rFonts w:ascii="仿宋_GB2312" w:hAnsi="仿宋_GB2312" w:cs="仿宋_GB2312" w:eastAsia="仿宋_GB2312"/>
                <w:sz w:val="20"/>
              </w:rPr>
              <w:t>[2018]第86号公告。</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ind w:firstLine="200"/>
            </w:pPr>
            <w:r>
              <w:rPr>
                <w:rFonts w:ascii="仿宋_GB2312" w:hAnsi="仿宋_GB2312" w:cs="仿宋_GB2312" w:eastAsia="仿宋_GB2312"/>
                <w:sz w:val="20"/>
              </w:rPr>
              <w:t>三、商务要求（本项为实质性响应要求，不得负偏离）</w:t>
            </w:r>
          </w:p>
          <w:p>
            <w:pPr>
              <w:pStyle w:val="null3"/>
              <w:ind w:firstLine="200"/>
            </w:pPr>
            <w:r>
              <w:rPr>
                <w:rFonts w:ascii="仿宋_GB2312" w:hAnsi="仿宋_GB2312" w:cs="仿宋_GB2312" w:eastAsia="仿宋_GB2312"/>
                <w:sz w:val="20"/>
              </w:rPr>
              <w:t xml:space="preserve">1. </w:t>
            </w:r>
            <w:r>
              <w:rPr>
                <w:rFonts w:ascii="仿宋_GB2312" w:hAnsi="仿宋_GB2312" w:cs="仿宋_GB2312" w:eastAsia="仿宋_GB2312"/>
                <w:sz w:val="20"/>
              </w:rPr>
              <w:t>工期：</w:t>
            </w:r>
            <w:r>
              <w:rPr>
                <w:rFonts w:ascii="仿宋_GB2312" w:hAnsi="仿宋_GB2312" w:cs="仿宋_GB2312" w:eastAsia="仿宋_GB2312"/>
                <w:sz w:val="20"/>
              </w:rPr>
              <w:t>90日历天。</w:t>
            </w:r>
          </w:p>
          <w:p>
            <w:pPr>
              <w:pStyle w:val="null3"/>
              <w:ind w:firstLine="200"/>
            </w:pPr>
            <w:r>
              <w:rPr>
                <w:rFonts w:ascii="仿宋_GB2312" w:hAnsi="仿宋_GB2312" w:cs="仿宋_GB2312" w:eastAsia="仿宋_GB2312"/>
                <w:sz w:val="20"/>
              </w:rPr>
              <w:t>2. 质量要求</w:t>
            </w:r>
            <w:r>
              <w:rPr>
                <w:rFonts w:ascii="仿宋_GB2312" w:hAnsi="仿宋_GB2312" w:cs="仿宋_GB2312" w:eastAsia="仿宋_GB2312"/>
                <w:sz w:val="20"/>
              </w:rPr>
              <w:t>：</w:t>
            </w:r>
            <w:r>
              <w:rPr>
                <w:rFonts w:ascii="仿宋_GB2312" w:hAnsi="仿宋_GB2312" w:cs="仿宋_GB2312" w:eastAsia="仿宋_GB2312"/>
                <w:sz w:val="20"/>
              </w:rPr>
              <w:t>交工验收的质量等级评定：合格；竣工验收的质量等级评定：合格</w:t>
            </w:r>
            <w:r>
              <w:rPr>
                <w:rFonts w:ascii="仿宋_GB2312" w:hAnsi="仿宋_GB2312" w:cs="仿宋_GB2312" w:eastAsia="仿宋_GB2312"/>
              </w:rPr>
              <w:t>。</w:t>
            </w:r>
          </w:p>
          <w:p>
            <w:pPr>
              <w:pStyle w:val="null3"/>
              <w:ind w:firstLine="200"/>
            </w:pPr>
            <w:r>
              <w:rPr>
                <w:rFonts w:ascii="仿宋_GB2312" w:hAnsi="仿宋_GB2312" w:cs="仿宋_GB2312" w:eastAsia="仿宋_GB2312"/>
              </w:rPr>
              <w:t xml:space="preserve">3. </w:t>
            </w:r>
            <w:r>
              <w:rPr>
                <w:rFonts w:ascii="仿宋_GB2312" w:hAnsi="仿宋_GB2312" w:cs="仿宋_GB2312" w:eastAsia="仿宋_GB2312"/>
              </w:rPr>
              <w:t>安全目标：平安工地</w:t>
            </w:r>
            <w:r>
              <w:rPr>
                <w:rFonts w:ascii="仿宋_GB2312" w:hAnsi="仿宋_GB2312" w:cs="仿宋_GB2312" w:eastAsia="仿宋_GB2312"/>
              </w:rPr>
              <w:t>管理</w:t>
            </w:r>
            <w:r>
              <w:rPr>
                <w:rFonts w:ascii="仿宋_GB2312" w:hAnsi="仿宋_GB2312" w:cs="仿宋_GB2312" w:eastAsia="仿宋_GB2312"/>
              </w:rPr>
              <w:t>全覆盖，</w:t>
            </w:r>
            <w:r>
              <w:rPr>
                <w:rFonts w:ascii="仿宋_GB2312" w:hAnsi="仿宋_GB2312" w:cs="仿宋_GB2312" w:eastAsia="仿宋_GB2312"/>
              </w:rPr>
              <w:t>无安全责任事故发生，实现</w:t>
            </w:r>
            <w:r>
              <w:rPr>
                <w:rFonts w:ascii="仿宋_GB2312" w:hAnsi="仿宋_GB2312" w:cs="仿宋_GB2312" w:eastAsia="仿宋_GB2312"/>
              </w:rPr>
              <w:t>“零死亡”安全管理目标</w:t>
            </w:r>
            <w:r>
              <w:rPr>
                <w:rFonts w:ascii="仿宋_GB2312" w:hAnsi="仿宋_GB2312" w:cs="仿宋_GB2312" w:eastAsia="仿宋_GB2312"/>
              </w:rPr>
              <w:t>。</w:t>
            </w:r>
          </w:p>
          <w:p>
            <w:pPr>
              <w:pStyle w:val="null3"/>
              <w:ind w:firstLine="200"/>
            </w:pPr>
            <w:r>
              <w:rPr>
                <w:rFonts w:ascii="仿宋_GB2312" w:hAnsi="仿宋_GB2312" w:cs="仿宋_GB2312" w:eastAsia="仿宋_GB2312"/>
              </w:rPr>
              <w:t xml:space="preserve">4. </w:t>
            </w:r>
            <w:r>
              <w:rPr>
                <w:rFonts w:ascii="仿宋_GB2312" w:hAnsi="仿宋_GB2312" w:cs="仿宋_GB2312" w:eastAsia="仿宋_GB2312"/>
              </w:rPr>
              <w:t>缺陷责任期：自交工验收合格之日起满</w:t>
            </w:r>
            <w:r>
              <w:rPr>
                <w:rFonts w:ascii="仿宋_GB2312" w:hAnsi="仿宋_GB2312" w:cs="仿宋_GB2312" w:eastAsia="仿宋_GB2312"/>
              </w:rPr>
              <w:t>2年；</w:t>
            </w:r>
            <w:r>
              <w:rPr>
                <w:rFonts w:ascii="仿宋_GB2312" w:hAnsi="仿宋_GB2312" w:cs="仿宋_GB2312" w:eastAsia="仿宋_GB2312"/>
              </w:rPr>
              <w:t>质量保修期</w:t>
            </w:r>
            <w:r>
              <w:rPr>
                <w:rFonts w:ascii="仿宋_GB2312" w:hAnsi="仿宋_GB2312" w:cs="仿宋_GB2312" w:eastAsia="仿宋_GB2312"/>
              </w:rPr>
              <w:t>：</w:t>
            </w:r>
            <w:r>
              <w:rPr>
                <w:rFonts w:ascii="仿宋_GB2312" w:hAnsi="仿宋_GB2312" w:cs="仿宋_GB2312" w:eastAsia="仿宋_GB2312"/>
              </w:rPr>
              <w:t>自竣工验收合格之日起满</w:t>
            </w:r>
            <w:r>
              <w:rPr>
                <w:rFonts w:ascii="仿宋_GB2312" w:hAnsi="仿宋_GB2312" w:cs="仿宋_GB2312" w:eastAsia="仿宋_GB2312"/>
              </w:rPr>
              <w:t>2</w:t>
            </w:r>
            <w:r>
              <w:rPr>
                <w:rFonts w:ascii="仿宋_GB2312" w:hAnsi="仿宋_GB2312" w:cs="仿宋_GB2312" w:eastAsia="仿宋_GB2312"/>
              </w:rPr>
              <w:t>年</w:t>
            </w:r>
            <w:r>
              <w:rPr>
                <w:rFonts w:ascii="仿宋_GB2312" w:hAnsi="仿宋_GB2312" w:cs="仿宋_GB2312" w:eastAsia="仿宋_GB2312"/>
              </w:rPr>
              <w:t>。</w:t>
            </w:r>
          </w:p>
          <w:p>
            <w:pPr>
              <w:pStyle w:val="null3"/>
              <w:ind w:firstLine="200"/>
            </w:pPr>
            <w:r>
              <w:rPr>
                <w:rFonts w:ascii="仿宋_GB2312" w:hAnsi="仿宋_GB2312" w:cs="仿宋_GB2312" w:eastAsia="仿宋_GB2312"/>
                <w:sz w:val="20"/>
              </w:rPr>
              <w:t>5. 漏项处理：施工过程中发现工程量清单中存在漏项工程的，该漏项工程作为本项目采购的组成部分，采购人和供应商可以按照双方合同的规定协商解决。</w:t>
            </w:r>
          </w:p>
          <w:p>
            <w:pPr>
              <w:pStyle w:val="null3"/>
              <w:ind w:firstLine="200"/>
            </w:pPr>
            <w:r>
              <w:rPr>
                <w:rFonts w:ascii="仿宋_GB2312" w:hAnsi="仿宋_GB2312" w:cs="仿宋_GB2312" w:eastAsia="仿宋_GB2312"/>
                <w:sz w:val="20"/>
              </w:rPr>
              <w:t>6. 施工要求：</w:t>
            </w:r>
          </w:p>
          <w:p>
            <w:pPr>
              <w:pStyle w:val="null3"/>
              <w:ind w:firstLine="200"/>
            </w:pPr>
            <w:r>
              <w:rPr>
                <w:rFonts w:ascii="仿宋_GB2312" w:hAnsi="仿宋_GB2312" w:cs="仿宋_GB2312" w:eastAsia="仿宋_GB2312"/>
                <w:sz w:val="20"/>
              </w:rPr>
              <w:t>6.1 遵守国家相关法律、法规，遵守国家相关技术规范；</w:t>
            </w:r>
          </w:p>
          <w:p>
            <w:pPr>
              <w:pStyle w:val="null3"/>
              <w:ind w:firstLine="200"/>
            </w:pPr>
            <w:r>
              <w:rPr>
                <w:rFonts w:ascii="仿宋_GB2312" w:hAnsi="仿宋_GB2312" w:cs="仿宋_GB2312" w:eastAsia="仿宋_GB2312"/>
                <w:sz w:val="20"/>
              </w:rPr>
              <w:t>6.2 所选材料必须保证质量可靠、进货渠道正常，符合国家环保等相关标准，满足施工要求；</w:t>
            </w:r>
          </w:p>
          <w:p>
            <w:pPr>
              <w:pStyle w:val="null3"/>
              <w:ind w:firstLine="200"/>
            </w:pPr>
            <w:r>
              <w:rPr>
                <w:rFonts w:ascii="仿宋_GB2312" w:hAnsi="仿宋_GB2312" w:cs="仿宋_GB2312" w:eastAsia="仿宋_GB2312"/>
                <w:sz w:val="20"/>
              </w:rPr>
              <w:t>6.3 工程质量符合国家有关规范，确保达到合格；</w:t>
            </w:r>
          </w:p>
          <w:p>
            <w:pPr>
              <w:pStyle w:val="null3"/>
              <w:ind w:firstLine="200"/>
            </w:pPr>
            <w:r>
              <w:rPr>
                <w:rFonts w:ascii="仿宋_GB2312" w:hAnsi="仿宋_GB2312" w:cs="仿宋_GB2312" w:eastAsia="仿宋_GB2312"/>
                <w:sz w:val="20"/>
              </w:rPr>
              <w:t>6.4 遵守有关施工规范和安全操作规程，采取有效的安全保障措施，确保施工安全</w:t>
            </w:r>
            <w:r>
              <w:rPr>
                <w:rFonts w:ascii="仿宋_GB2312" w:hAnsi="仿宋_GB2312" w:cs="仿宋_GB2312" w:eastAsia="仿宋_GB2312"/>
                <w:sz w:val="20"/>
              </w:rPr>
              <w:t>，并承担事故的全部费用和责任；</w:t>
            </w:r>
          </w:p>
          <w:p>
            <w:pPr>
              <w:pStyle w:val="null3"/>
              <w:ind w:firstLine="200"/>
            </w:pPr>
            <w:r>
              <w:rPr>
                <w:rFonts w:ascii="仿宋_GB2312" w:hAnsi="仿宋_GB2312" w:cs="仿宋_GB2312" w:eastAsia="仿宋_GB2312"/>
                <w:sz w:val="20"/>
              </w:rPr>
              <w:t>6.5 施工单位必须服从当地对治安、卫生、环保、社会保险等工程建设的统一管理，并按有关规定交纳费用以</w:t>
            </w:r>
            <w:r>
              <w:rPr>
                <w:rFonts w:ascii="仿宋_GB2312" w:hAnsi="仿宋_GB2312" w:cs="仿宋_GB2312" w:eastAsia="仿宋_GB2312"/>
                <w:sz w:val="20"/>
              </w:rPr>
              <w:t>及因违反相关规定而造成的罚款；</w:t>
            </w:r>
          </w:p>
          <w:p>
            <w:pPr>
              <w:pStyle w:val="null3"/>
              <w:ind w:firstLine="200"/>
            </w:pPr>
            <w:r>
              <w:rPr>
                <w:rFonts w:ascii="仿宋_GB2312" w:hAnsi="仿宋_GB2312" w:cs="仿宋_GB2312" w:eastAsia="仿宋_GB2312"/>
                <w:sz w:val="20"/>
              </w:rPr>
              <w:t>6.6 本工程不允许转包；</w:t>
            </w:r>
          </w:p>
          <w:p>
            <w:pPr>
              <w:pStyle w:val="null3"/>
              <w:ind w:firstLine="200"/>
            </w:pPr>
            <w:r>
              <w:rPr>
                <w:rFonts w:ascii="仿宋_GB2312" w:hAnsi="仿宋_GB2312" w:cs="仿宋_GB2312" w:eastAsia="仿宋_GB2312"/>
                <w:sz w:val="20"/>
              </w:rPr>
              <w:t>6.7 供应商自行办理垃圾清理手续，遵守当地政府垃圾分类处理有关规定，承担自行处置不当导致的全部费用和责任。</w:t>
            </w:r>
          </w:p>
          <w:p>
            <w:pPr>
              <w:pStyle w:val="null3"/>
              <w:ind w:firstLine="200"/>
            </w:pPr>
            <w:r>
              <w:rPr>
                <w:rFonts w:ascii="仿宋_GB2312" w:hAnsi="仿宋_GB2312" w:cs="仿宋_GB2312" w:eastAsia="仿宋_GB2312"/>
                <w:sz w:val="20"/>
              </w:rPr>
              <w:t>7.质量验收标准或规范：</w:t>
            </w:r>
          </w:p>
          <w:p>
            <w:pPr>
              <w:pStyle w:val="null3"/>
              <w:ind w:firstLine="200"/>
            </w:pPr>
            <w:r>
              <w:rPr>
                <w:rFonts w:ascii="仿宋_GB2312" w:hAnsi="仿宋_GB2312" w:cs="仿宋_GB2312" w:eastAsia="仿宋_GB2312"/>
                <w:sz w:val="20"/>
              </w:rPr>
              <w:t>7.1 国家现行有关法律、法规、环保和技术指标；</w:t>
            </w:r>
          </w:p>
          <w:p>
            <w:pPr>
              <w:pStyle w:val="null3"/>
              <w:ind w:firstLine="200"/>
            </w:pPr>
            <w:r>
              <w:rPr>
                <w:rFonts w:ascii="仿宋_GB2312" w:hAnsi="仿宋_GB2312" w:cs="仿宋_GB2312" w:eastAsia="仿宋_GB2312"/>
                <w:sz w:val="20"/>
              </w:rPr>
              <w:t>7.2 本项目施工合同；</w:t>
            </w:r>
          </w:p>
          <w:p>
            <w:pPr>
              <w:pStyle w:val="null3"/>
              <w:ind w:firstLine="200"/>
            </w:pPr>
            <w:r>
              <w:rPr>
                <w:rFonts w:ascii="仿宋_GB2312" w:hAnsi="仿宋_GB2312" w:cs="仿宋_GB2312" w:eastAsia="仿宋_GB2312"/>
                <w:sz w:val="20"/>
              </w:rPr>
              <w:t>7.3 经批准的设计文件及工程变更文件；</w:t>
            </w:r>
          </w:p>
          <w:p>
            <w:pPr>
              <w:pStyle w:val="null3"/>
              <w:ind w:firstLine="200"/>
            </w:pPr>
            <w:r>
              <w:rPr>
                <w:rFonts w:ascii="仿宋_GB2312" w:hAnsi="仿宋_GB2312" w:cs="仿宋_GB2312" w:eastAsia="仿宋_GB2312"/>
                <w:sz w:val="20"/>
              </w:rPr>
              <w:t>7.4 有关部政府部门的规定。</w:t>
            </w:r>
          </w:p>
          <w:p>
            <w:pPr>
              <w:pStyle w:val="null3"/>
              <w:ind w:firstLine="200"/>
            </w:pPr>
            <w:r>
              <w:rPr>
                <w:rFonts w:ascii="仿宋_GB2312" w:hAnsi="仿宋_GB2312" w:cs="仿宋_GB2312" w:eastAsia="仿宋_GB2312"/>
                <w:sz w:val="20"/>
              </w:rPr>
              <w:t>8.项目检验与验收：</w:t>
            </w:r>
          </w:p>
          <w:p>
            <w:pPr>
              <w:pStyle w:val="null3"/>
              <w:ind w:firstLine="200"/>
            </w:pPr>
            <w:r>
              <w:rPr>
                <w:rFonts w:ascii="仿宋_GB2312" w:hAnsi="仿宋_GB2312" w:cs="仿宋_GB2312" w:eastAsia="仿宋_GB2312"/>
                <w:sz w:val="20"/>
              </w:rPr>
              <w:t>8.1 成交供应商向采购人提交项目实施过程中的所有资料；</w:t>
            </w:r>
          </w:p>
          <w:p>
            <w:pPr>
              <w:pStyle w:val="null3"/>
              <w:ind w:firstLine="200"/>
            </w:pPr>
            <w:r>
              <w:rPr>
                <w:rFonts w:ascii="仿宋_GB2312" w:hAnsi="仿宋_GB2312" w:cs="仿宋_GB2312" w:eastAsia="仿宋_GB2312"/>
                <w:sz w:val="20"/>
              </w:rPr>
              <w:t>8.2 验收须以合同、磋商文件及响应文件、澄清、及国家相应的标准、规范等为依据。</w:t>
            </w:r>
          </w:p>
          <w:p>
            <w:pPr>
              <w:pStyle w:val="null3"/>
              <w:ind w:firstLine="200"/>
            </w:pPr>
            <w:r>
              <w:rPr>
                <w:rFonts w:ascii="仿宋_GB2312" w:hAnsi="仿宋_GB2312" w:cs="仿宋_GB2312" w:eastAsia="仿宋_GB2312"/>
                <w:sz w:val="20"/>
              </w:rPr>
              <w:t>9.合同的变更、中止、终止：合同一经签订，不得擅自变更、中止或者终止合同。对确需变更、调整或者中止、终止合同的，由双方协商解决。</w:t>
            </w:r>
          </w:p>
          <w:p>
            <w:pPr>
              <w:pStyle w:val="null3"/>
              <w:ind w:firstLine="200"/>
            </w:pPr>
            <w:r>
              <w:rPr>
                <w:rFonts w:ascii="仿宋_GB2312" w:hAnsi="仿宋_GB2312" w:cs="仿宋_GB2312" w:eastAsia="仿宋_GB2312"/>
                <w:sz w:val="20"/>
              </w:rPr>
              <w:t>10.合同争议的处理：合同在履行过程中发生的争议，当事人双方应协商解决，协商达不成一致时，可向采购方所在地仲裁委员会申请仲裁。</w:t>
            </w:r>
          </w:p>
          <w:p>
            <w:pPr>
              <w:pStyle w:val="null3"/>
              <w:ind w:firstLine="200"/>
            </w:pPr>
            <w:r>
              <w:rPr>
                <w:rFonts w:ascii="仿宋_GB2312" w:hAnsi="仿宋_GB2312" w:cs="仿宋_GB2312" w:eastAsia="仿宋_GB2312"/>
                <w:sz w:val="20"/>
              </w:rPr>
              <w:t>11.违约责任：</w:t>
            </w:r>
          </w:p>
          <w:p>
            <w:pPr>
              <w:pStyle w:val="null3"/>
              <w:ind w:firstLine="200"/>
            </w:pPr>
            <w:r>
              <w:rPr>
                <w:rFonts w:ascii="仿宋_GB2312" w:hAnsi="仿宋_GB2312" w:cs="仿宋_GB2312" w:eastAsia="仿宋_GB2312"/>
                <w:sz w:val="20"/>
              </w:rPr>
              <w:t>11.1 按《中华人民共和国政府采购法》《中华人民共和国民法典》中的相关条款执行；</w:t>
            </w:r>
          </w:p>
          <w:p>
            <w:pPr>
              <w:pStyle w:val="null3"/>
              <w:jc w:val="both"/>
            </w:pPr>
            <w:r>
              <w:rPr>
                <w:rFonts w:ascii="仿宋_GB2312" w:hAnsi="仿宋_GB2312" w:cs="仿宋_GB2312" w:eastAsia="仿宋_GB2312"/>
                <w:sz w:val="20"/>
              </w:rPr>
              <w:t xml:space="preserve"> 11.2 未按要求提供货物、质量、环保标准不能满足技术要求的，施工方必须无条件更换，否则，采购单位有权终止合同，并对施工方的违约行为报监管机构进行相应的处罚。</w:t>
            </w:r>
          </w:p>
          <w:p>
            <w:pPr>
              <w:pStyle w:val="null3"/>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1.特别注意:为顺利推进政府采购电子化交易平台应用工作，供应商需要在线提交所有通过电子化交易平台实施的政府采购项目的响应文件。 2.成交供应商在采购结果发布后3个工作日内向代理机构提交纸质版响应文件以便于存档，响应文件正本1份，副本2份（可以使用签章文件直接打印），电子版文件2份（以U盘为载体，电子版内容为签字盖章扫描后的PDF版本响应文件）。线下递交响应文件地点：汉中市南郑区南郑大道南300米（南郑工业园区管委会二楼）。 3.如磋商文件中融资相关内容与新政策要求有出入，按照最新要求执行。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供应商为具有独立承担民事责任能力的企业法人、负责人或其他组织或自然人，并出具有效的营业执照或证明文件或自然人的身份证明。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授权代表身份证明</w:t>
            </w:r>
          </w:p>
        </w:tc>
        <w:tc>
          <w:tcPr>
            <w:tcW w:type="dxa" w:w="3322"/>
          </w:tcPr>
          <w:p>
            <w:pPr>
              <w:pStyle w:val="null3"/>
            </w:pPr>
            <w:r>
              <w:rPr>
                <w:rFonts w:ascii="仿宋_GB2312" w:hAnsi="仿宋_GB2312" w:cs="仿宋_GB2312" w:eastAsia="仿宋_GB2312"/>
              </w:rPr>
              <w:t>供应商应授权合法的人员参加本项目磋商活动全过程，其中法定代表人直接参加磋商活动的，应出具法定代表人证明书及法定代表人合法有效的身份证扫描件，且应与营业执照上信息一致；法定代表人授权代表参加磋商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供应商须具有行政主管部门核发的公路工程施工总承包三级（含三级）及以上资质，并具有有效的安全生产许可证。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项目经理资质要求</w:t>
            </w:r>
          </w:p>
        </w:tc>
        <w:tc>
          <w:tcPr>
            <w:tcW w:type="dxa" w:w="3322"/>
          </w:tcPr>
          <w:p>
            <w:pPr>
              <w:pStyle w:val="null3"/>
            </w:pPr>
            <w:r>
              <w:rPr>
                <w:rFonts w:ascii="仿宋_GB2312" w:hAnsi="仿宋_GB2312" w:cs="仿宋_GB2312" w:eastAsia="仿宋_GB2312"/>
              </w:rPr>
              <w:t>拟派本项目的项目经理须具备公路工程专业二级（含二级）及以上注册建造师，并持有效的安全生产考核合格证书，且无在建工程(出具无在建承诺书）。</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供应商应当使用纳入陕西省政府采购综合管理平台数字 证书互认范围的数字证书及签章进行系统操作。（供应商对其系统操作行为和电子签章确认的事项承担法律责任）</w:t>
            </w:r>
          </w:p>
        </w:tc>
        <w:tc>
          <w:tcPr>
            <w:tcW w:type="dxa" w:w="1661"/>
          </w:tcPr>
          <w:p>
            <w:pPr>
              <w:pStyle w:val="null3"/>
            </w:pPr>
            <w:r>
              <w:rPr>
                <w:rFonts w:ascii="仿宋_GB2312" w:hAnsi="仿宋_GB2312" w:cs="仿宋_GB2312" w:eastAsia="仿宋_GB2312"/>
              </w:rPr>
              <w:t>已标价工程量清单 环境标志产品明细表.docx 拟投入本工程的主要施工设备表.docx 供应商类似项目业绩一览表.docx 中小企业声明函 商务要求应答表.docx 优先采购环境标志产品承诺函.docx 响应文件封面 项目组织机构一览表.docx 供应商应提交的相关资格证明材料.docx 残疾人福利性单位声明函 总实施方案.docx 报价函 标的清单 项目经理简历表.docx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已标价工程量清单 环境标志产品明细表.docx 拟投入本工程的主要施工设备表.docx 供应商类似项目业绩一览表.docx 中小企业声明函 商务要求应答表.docx 优先采购环境标志产品承诺函.docx 响应文件封面 项目组织机构一览表.docx 供应商应提交的相关资格证明材料.docx 残疾人福利性单位声明函 总实施方案.docx 报价函 标的清单 项目经理简历表.docx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工期、质量要求、安全目标、缺陷责任期、质量保修期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商务要求应答表.docx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总体施工方案</w:t>
            </w:r>
          </w:p>
        </w:tc>
        <w:tc>
          <w:tcPr>
            <w:tcW w:type="dxa" w:w="2492"/>
          </w:tcPr>
          <w:p>
            <w:pPr>
              <w:pStyle w:val="null3"/>
            </w:pPr>
            <w:r>
              <w:rPr>
                <w:rFonts w:ascii="仿宋_GB2312" w:hAnsi="仿宋_GB2312" w:cs="仿宋_GB2312" w:eastAsia="仿宋_GB2312"/>
              </w:rPr>
              <w:t>一、评审内容：针对本项目施工内容制定施工方案，包括①项目整体思路；②项目重点难点；③施工实施的流程；④管理规章制度方案。 二、评审标准：①项目整体思路合理、可行得3.1-4分；思路较合理、较可行得2.1-3分；思路基本合理、基本可行得1-2分；未提供此项内容不得分。②项目重点难点合理、可行得3.1-4分；重点难点较合理、较可行得2.1-3分；重点难点基本合理、基本可行得1-2分；未提供此项内容不得分。③施工实施的流程合理、可行得3.1-4分；重点难点较合理、较可行得2.1-3分；重点难点基本合理、基本可行得1-2分；未提供此项内容不得分。④管理规章制度方案合理、可行得3.1-4分；方案较合理、较可行得2.1-3分；方案基本合理、基本可行得1-2分；未提供此项内容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安全施工、文明施工管理制度及措施</w:t>
            </w:r>
          </w:p>
        </w:tc>
        <w:tc>
          <w:tcPr>
            <w:tcW w:type="dxa" w:w="2492"/>
          </w:tcPr>
          <w:p>
            <w:pPr>
              <w:pStyle w:val="null3"/>
            </w:pPr>
            <w:r>
              <w:rPr>
                <w:rFonts w:ascii="仿宋_GB2312" w:hAnsi="仿宋_GB2312" w:cs="仿宋_GB2312" w:eastAsia="仿宋_GB2312"/>
              </w:rPr>
              <w:t>一、评审内容：针对本项目制定安全施工、文明施工管理制度及措施，包括①安全施工、文明施工管理制度；②安全施工、文明施工管理措施。 二、评审标准：①安全施工、文明施工管理制度合理、可行得4.1-5分；制度较合理、较可行得2.1-4分；制度基本合理、基本可行得1-2分；未提供此项内容不得分。②安全施工、文明施工管理措施合理、可行得4.1-5分；措施较合理、较可行得2.1-4分；措施基本合理、基本可行得1-2分；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工程质量保证管理制度及措施</w:t>
            </w:r>
          </w:p>
        </w:tc>
        <w:tc>
          <w:tcPr>
            <w:tcW w:type="dxa" w:w="2492"/>
          </w:tcPr>
          <w:p>
            <w:pPr>
              <w:pStyle w:val="null3"/>
            </w:pPr>
            <w:r>
              <w:rPr>
                <w:rFonts w:ascii="仿宋_GB2312" w:hAnsi="仿宋_GB2312" w:cs="仿宋_GB2312" w:eastAsia="仿宋_GB2312"/>
              </w:rPr>
              <w:t>一、评审内容：针对本项目制定工程质量保证管理制度及措施，包括①工程质量保证管理制度；②工程质量保证管理措施。 二、评审标准：①工程质量保证管理制度合理、可行得3.1-5分；制度较合理、较可行得2.1-3分；制度基本合理、基本可行得1-2分；未提供此项内容不得分。②工程质量保证管理措施合理、可行得3.1-5分；措施较合理、较可行得2.1-3分；措施基本合理、基本可行得1-2分；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工期的技术组织措施</w:t>
            </w:r>
          </w:p>
        </w:tc>
        <w:tc>
          <w:tcPr>
            <w:tcW w:type="dxa" w:w="2492"/>
          </w:tcPr>
          <w:p>
            <w:pPr>
              <w:pStyle w:val="null3"/>
            </w:pPr>
            <w:r>
              <w:rPr>
                <w:rFonts w:ascii="仿宋_GB2312" w:hAnsi="仿宋_GB2312" w:cs="仿宋_GB2312" w:eastAsia="仿宋_GB2312"/>
              </w:rPr>
              <w:t>一、评审内容：针对本项目制定工期的技术组织措施，包括①工期的技术组织措施；②施工工期进度安排。 二、评审标准：①工期的技术组织措施合理、可行得3.1-4分；措施较合理、较可行得2.1-3分；措施基本合理、基本可行得1-2分；未提供此项内容不得分；②施工工期进度安排合理、可行得3.1-4分；安排较合理、较可行得2.1-3分；安排基本合理、基本可行得1-2分；未提供此项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降低环境污染措施及环境保护管理制度</w:t>
            </w:r>
          </w:p>
        </w:tc>
        <w:tc>
          <w:tcPr>
            <w:tcW w:type="dxa" w:w="2492"/>
          </w:tcPr>
          <w:p>
            <w:pPr>
              <w:pStyle w:val="null3"/>
            </w:pPr>
            <w:r>
              <w:rPr>
                <w:rFonts w:ascii="仿宋_GB2312" w:hAnsi="仿宋_GB2312" w:cs="仿宋_GB2312" w:eastAsia="仿宋_GB2312"/>
              </w:rPr>
              <w:t>一、评审内容：针对本项目制定降低环境污染措施及环境保护管理制度，包括①降低环境污染措施；②环境保护管理制度。 二、评审标准：①降低环境污染措施合理、可行得3.1-4分；措施较合理、较可行得2.1-3分；措施基本合理、基本可行得1-2分；未提供此项内容不得分。 ②环境保护管理制度合理、可行得3.1-4分；制度较合理、较可行得2.1-3分；制度基本合理、基本可行得1-2分；未提供此项内容不得分。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施工机械设备配备</w:t>
            </w:r>
          </w:p>
        </w:tc>
        <w:tc>
          <w:tcPr>
            <w:tcW w:type="dxa" w:w="2492"/>
          </w:tcPr>
          <w:p>
            <w:pPr>
              <w:pStyle w:val="null3"/>
            </w:pPr>
            <w:r>
              <w:rPr>
                <w:rFonts w:ascii="仿宋_GB2312" w:hAnsi="仿宋_GB2312" w:cs="仿宋_GB2312" w:eastAsia="仿宋_GB2312"/>
              </w:rPr>
              <w:t>一、评审内容：针对本项目拟投入的主要施工机械设备配备进行评审。 二、评审标准：施工机械设备配备合理、可行得4.1-5分；配备较合理、较可行得2.1-4分；配备基本合理、基本可行得1-2分；未提供此项内容不得分。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拟投入本工程的主要施工设备表.docx</w:t>
            </w:r>
          </w:p>
        </w:tc>
      </w:tr>
      <w:tr>
        <w:tc>
          <w:tcPr>
            <w:tcW w:type="dxa" w:w="831"/>
            <w:vMerge/>
          </w:tcPr>
          <w:p/>
        </w:tc>
        <w:tc>
          <w:tcPr>
            <w:tcW w:type="dxa" w:w="1661"/>
          </w:tcPr>
          <w:p>
            <w:pPr>
              <w:pStyle w:val="null3"/>
            </w:pPr>
            <w:r>
              <w:rPr>
                <w:rFonts w:ascii="仿宋_GB2312" w:hAnsi="仿宋_GB2312" w:cs="仿宋_GB2312" w:eastAsia="仿宋_GB2312"/>
              </w:rPr>
              <w:t>劳动力配备</w:t>
            </w:r>
          </w:p>
        </w:tc>
        <w:tc>
          <w:tcPr>
            <w:tcW w:type="dxa" w:w="2492"/>
          </w:tcPr>
          <w:p>
            <w:pPr>
              <w:pStyle w:val="null3"/>
            </w:pPr>
            <w:r>
              <w:rPr>
                <w:rFonts w:ascii="仿宋_GB2312" w:hAnsi="仿宋_GB2312" w:cs="仿宋_GB2312" w:eastAsia="仿宋_GB2312"/>
              </w:rPr>
              <w:t>一、评审内容：针对本项目劳动力配备进行评审。 评审标准：劳动力配备合理、可行得4.1-5分；配备较合理、较可行得2.1-4分；配备基本合理、基本可行得1-2分；未提供此项内容不得分。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项目经理职称</w:t>
            </w:r>
          </w:p>
        </w:tc>
        <w:tc>
          <w:tcPr>
            <w:tcW w:type="dxa" w:w="2492"/>
          </w:tcPr>
          <w:p>
            <w:pPr>
              <w:pStyle w:val="null3"/>
            </w:pPr>
            <w:r>
              <w:rPr>
                <w:rFonts w:ascii="仿宋_GB2312" w:hAnsi="仿宋_GB2312" w:cs="仿宋_GB2312" w:eastAsia="仿宋_GB2312"/>
              </w:rPr>
              <w:t>一、评审内容：项目经理具备公路工程相关专业职称证。 评审标准：高级职称得5分，中级职称得3分，其他不得分。响应文件内附职称证复印件并签章。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项目组织机构一览表.docx</w:t>
            </w:r>
          </w:p>
          <w:p>
            <w:pPr>
              <w:pStyle w:val="null3"/>
            </w:pPr>
            <w:r>
              <w:rPr>
                <w:rFonts w:ascii="仿宋_GB2312" w:hAnsi="仿宋_GB2312" w:cs="仿宋_GB2312" w:eastAsia="仿宋_GB2312"/>
              </w:rPr>
              <w:t>项目经理简历表.docx</w:t>
            </w:r>
          </w:p>
        </w:tc>
      </w:tr>
      <w:tr>
        <w:tc>
          <w:tcPr>
            <w:tcW w:type="dxa" w:w="831"/>
            <w:vMerge/>
          </w:tcPr>
          <w:p/>
        </w:tc>
        <w:tc>
          <w:tcPr>
            <w:tcW w:type="dxa" w:w="1661"/>
          </w:tcPr>
          <w:p>
            <w:pPr>
              <w:pStyle w:val="null3"/>
            </w:pPr>
            <w:r>
              <w:rPr>
                <w:rFonts w:ascii="仿宋_GB2312" w:hAnsi="仿宋_GB2312" w:cs="仿宋_GB2312" w:eastAsia="仿宋_GB2312"/>
              </w:rPr>
              <w:t>项目组织机构</w:t>
            </w:r>
          </w:p>
        </w:tc>
        <w:tc>
          <w:tcPr>
            <w:tcW w:type="dxa" w:w="2492"/>
          </w:tcPr>
          <w:p>
            <w:pPr>
              <w:pStyle w:val="null3"/>
            </w:pPr>
            <w:r>
              <w:rPr>
                <w:rFonts w:ascii="仿宋_GB2312" w:hAnsi="仿宋_GB2312" w:cs="仿宋_GB2312" w:eastAsia="仿宋_GB2312"/>
              </w:rPr>
              <w:t>一、评审内容： 所配备项目技术负责人、施工员、质检员、安全员、材料员，具备相关专业技术职称或岗位证书。 评审标准： 全部满足得 7.5 分，每缺少一人或相应人员无证书证件扣 1.5 分，扣完为止。 响应文件内附相应人员证书证件复印件并签章。</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项目组织机构一览表.docx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供应商提供2022年12月至今完成的类似项目业绩，每提供一个合格业绩得2.5分，满分5分。未提供此项内容不得分。 注：业绩以中标（成交）通知书和合同（协议书)为准，响应文件内附复印件并签章。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供应商针对本项目特点提供切实可行的施工安全承诺、文明施工承诺、施工质量保证承诺、工期保证承诺、施工环境承诺等，保证按时按质按量完成本项目。每提供一项承诺得1分，满分5分。未提供此项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环境标志产品</w:t>
            </w:r>
          </w:p>
        </w:tc>
        <w:tc>
          <w:tcPr>
            <w:tcW w:type="dxa" w:w="2492"/>
          </w:tcPr>
          <w:p>
            <w:pPr>
              <w:pStyle w:val="null3"/>
            </w:pPr>
            <w:r>
              <w:rPr>
                <w:rFonts w:ascii="仿宋_GB2312" w:hAnsi="仿宋_GB2312" w:cs="仿宋_GB2312" w:eastAsia="仿宋_GB2312"/>
              </w:rPr>
              <w:t>主要材料与设备为环境标志产品的，每种产品得0.5分，最高得0.5分，没有不得分。 注：提供环境标志产品认证证书复印件并加盖公章。</w:t>
            </w:r>
          </w:p>
        </w:tc>
        <w:tc>
          <w:tcPr>
            <w:tcW w:type="dxa" w:w="831"/>
          </w:tcPr>
          <w:p>
            <w:pPr>
              <w:pStyle w:val="null3"/>
              <w:jc w:val="right"/>
            </w:pPr>
            <w:r>
              <w:rPr>
                <w:rFonts w:ascii="仿宋_GB2312" w:hAnsi="仿宋_GB2312" w:cs="仿宋_GB2312" w:eastAsia="仿宋_GB2312"/>
              </w:rPr>
              <w:t>0.5000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环境标志产品明细表.docx</w:t>
            </w:r>
          </w:p>
          <w:p>
            <w:pPr>
              <w:pStyle w:val="null3"/>
            </w:pPr>
            <w:r>
              <w:rPr>
                <w:rFonts w:ascii="仿宋_GB2312" w:hAnsi="仿宋_GB2312" w:cs="仿宋_GB2312" w:eastAsia="仿宋_GB2312"/>
              </w:rPr>
              <w:t>优先采购环境标志产品承诺函.docx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1、上限为采购预算价，即报价大于上限价视为无效报价； 2、以满足本次磋商文件要求的最低报价为评审基准价，其价格为满分； 3、磋商供应商报价得分=（评审基准价/报价）×15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详见附件：总实施方案.docx</w:t>
      </w:r>
    </w:p>
    <w:p>
      <w:pPr>
        <w:pStyle w:val="null3"/>
        <w:ind w:firstLine="960"/>
      </w:pPr>
      <w:r>
        <w:rPr>
          <w:rFonts w:ascii="仿宋_GB2312" w:hAnsi="仿宋_GB2312" w:cs="仿宋_GB2312" w:eastAsia="仿宋_GB2312"/>
        </w:rPr>
        <w:t>详见附件：商务要求应答表.docx</w:t>
      </w:r>
    </w:p>
    <w:p>
      <w:pPr>
        <w:pStyle w:val="null3"/>
        <w:ind w:firstLine="960"/>
      </w:pPr>
      <w:r>
        <w:rPr>
          <w:rFonts w:ascii="仿宋_GB2312" w:hAnsi="仿宋_GB2312" w:cs="仿宋_GB2312" w:eastAsia="仿宋_GB2312"/>
        </w:rPr>
        <w:t>详见附件：项目组织机构一览表.docx</w:t>
      </w:r>
    </w:p>
    <w:p>
      <w:pPr>
        <w:pStyle w:val="null3"/>
        <w:ind w:firstLine="960"/>
      </w:pPr>
      <w:r>
        <w:rPr>
          <w:rFonts w:ascii="仿宋_GB2312" w:hAnsi="仿宋_GB2312" w:cs="仿宋_GB2312" w:eastAsia="仿宋_GB2312"/>
        </w:rPr>
        <w:t>详见附件：拟投入本工程的主要施工设备表.docx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详见附件：项目经理简历表.docx</w:t>
      </w:r>
    </w:p>
    <w:p>
      <w:pPr>
        <w:pStyle w:val="null3"/>
        <w:ind w:firstLine="960"/>
      </w:pPr>
      <w:r>
        <w:rPr>
          <w:rFonts w:ascii="仿宋_GB2312" w:hAnsi="仿宋_GB2312" w:cs="仿宋_GB2312" w:eastAsia="仿宋_GB2312"/>
        </w:rPr>
        <w:t>详见附件：环境标志产品明细表.docx</w:t>
      </w:r>
    </w:p>
    <w:p>
      <w:pPr>
        <w:pStyle w:val="null3"/>
        <w:ind w:firstLine="960"/>
      </w:pPr>
      <w:r>
        <w:rPr>
          <w:rFonts w:ascii="仿宋_GB2312" w:hAnsi="仿宋_GB2312" w:cs="仿宋_GB2312" w:eastAsia="仿宋_GB2312"/>
        </w:rPr>
        <w:t>详见附件：优先采购环境标志产品承诺函.docx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详见附件：公路工程施工合同.docx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