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FCE3BA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default" w:ascii="宋体" w:hAnsi="宋体" w:eastAsia="宋体" w:cs="宋体"/>
          <w:b/>
          <w:bCs/>
          <w:sz w:val="28"/>
          <w:szCs w:val="28"/>
          <w:lang w:val="en-US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技术部分</w:t>
      </w:r>
    </w:p>
    <w:p w14:paraId="1045862E">
      <w:pPr>
        <w:ind w:firstLine="562" w:firstLineChars="200"/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采购文件第六章—磋商办法：“6.4.2 评分标准—详细评审”条款编制响应部分内容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62D91EE7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3</TotalTime>
  <ScaleCrop>false</ScaleCrop>
  <LinksUpToDate>false</LinksUpToDate>
  <CharactersWithSpaces>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范小沛</cp:lastModifiedBy>
  <dcterms:modified xsi:type="dcterms:W3CDTF">2025-07-07T05:36:40Z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eyJoZGlkIjoiNmQ5OGRlZmI5OTUzOTJmZGIyZTFhOTU1M2ZmMTc1ODQiLCJ1c2VySWQiOiI0ODQ2ODI1MjcifQ==</vt:lpwstr>
  </property>
  <property fmtid="{D5CDD505-2E9C-101B-9397-08002B2CF9AE}" pid="4" name="ICV">
    <vt:lpwstr>4E4B44C6EBC4458881ED45FEAA312F71_12</vt:lpwstr>
  </property>
</Properties>
</file>