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版本号：ZJHZ-ZC25003020250821001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西乡分局西乡县农村生活污水处理设施三方运维（三年）项目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ZJHZ-ZC250030</w:t>
      </w:r>
      <w:r>
        <w:br/>
      </w:r>
      <w:r>
        <w:br/>
      </w:r>
      <w:r>
        <w:br/>
      </w:r>
    </w:p>
    <w:p>
      <w:pPr>
        <w:pStyle w:val="null3"/>
        <w:jc w:val="center"/>
        <w:outlineLvl w:val="2"/>
      </w:pPr>
      <w:r>
        <w:rPr>
          <w:rFonts w:ascii="仿宋_GB2312" w:hAnsi="仿宋_GB2312" w:cs="仿宋_GB2312" w:eastAsia="仿宋_GB2312"/>
          <w:sz w:val="28"/>
          <w:b/>
        </w:rPr>
        <w:t>汉中市生态环境局西乡分局</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汉中市生态环境局西乡分局</w:t>
      </w:r>
      <w:r>
        <w:rPr>
          <w:rFonts w:ascii="仿宋_GB2312" w:hAnsi="仿宋_GB2312" w:cs="仿宋_GB2312" w:eastAsia="仿宋_GB2312"/>
        </w:rPr>
        <w:t>委托，拟对</w:t>
      </w:r>
      <w:r>
        <w:rPr>
          <w:rFonts w:ascii="仿宋_GB2312" w:hAnsi="仿宋_GB2312" w:cs="仿宋_GB2312" w:eastAsia="仿宋_GB2312"/>
        </w:rPr>
        <w:t>西乡分局西乡县农村生活污水处理设施三方运维（三年）项目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西乡分局西乡县农村生活污水处理设施三方运维（三年）项目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内容：开展西乡县45个生活污水处理站的运营维护，主要内容包括：现场巡查、淤泥清理、电器设备及管网维护、水质检测及监测等。绩效目标：完成45个生活污水处理站的运营维护工作，确保设备正常运行、出水水质达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采购包1（西乡分局西乡县农村生活污水处理设施三方运维（三年）项目）：属于专门面向中小企业采购。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直接参加投标的，须出具法人身份证(附法定代表人身份证复印件);法定代表人授权代表参加投标的，须出具法定代表人授权书及授权代表身份证(附法定代表人身份证复印件及被授权人身份证复印件);：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汉中市生态环境局西乡分局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西乡县文昌北路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0916-6218351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采购包1：3,535,460.00元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开户名称：工行汉中北团结街支行</w:t>
            </w:r>
          </w:p>
          <w:p>
            <w:pPr>
              <w:pStyle w:val="null3"/>
            </w:pPr>
            <w:r>
              <w:rPr>
                <w:rFonts w:ascii="仿宋_GB2312" w:hAnsi="仿宋_GB2312" w:cs="仿宋_GB2312" w:eastAsia="仿宋_GB2312"/>
              </w:rPr>
              <w:t>开户银行：致君项目管理有限公司汉中分公司</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汉中市生态环境局西乡分局</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汉中市生态环境局西乡分局</w:t>
      </w:r>
      <w:r>
        <w:rPr>
          <w:rFonts w:ascii="仿宋_GB2312" w:hAnsi="仿宋_GB2312" w:cs="仿宋_GB2312" w:eastAsia="仿宋_GB2312"/>
        </w:rPr>
        <w:t>负责解释。除上述招标文件内容，其他内容由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汉中市生态环境局西乡分局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1.各站点具有完整的运维记录 2.各站点现场运维照片 3.各站点水质检测报告（每月一次） 4.符合本项目的管理制度和操作流程。</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shd w:fill="FFFFFF" w:val="clear"/>
        </w:rPr>
        <w:t>采购内容：</w:t>
      </w:r>
      <w:r>
        <w:rPr>
          <w:rFonts w:ascii="仿宋_GB2312" w:hAnsi="仿宋_GB2312" w:cs="仿宋_GB2312" w:eastAsia="仿宋_GB2312"/>
          <w:sz w:val="21"/>
          <w:shd w:fill="FFFFFF" w:val="clear"/>
        </w:rPr>
        <w:t>开展西乡县45个生活污水处理站的运营维护，主要内容包括：现场巡查、淤泥清理、电器设备及管网维护、水质检测及监测等。绩效目标：完成45个生活污水处理站的运营维护工作，确保设备正常运行、出水水质达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3,535,460.00</w:t>
      </w:r>
    </w:p>
    <w:p>
      <w:pPr>
        <w:pStyle w:val="null3"/>
      </w:pPr>
      <w:r>
        <w:rPr>
          <w:rFonts w:ascii="仿宋_GB2312" w:hAnsi="仿宋_GB2312" w:cs="仿宋_GB2312" w:eastAsia="仿宋_GB2312"/>
        </w:rPr>
        <w:t>采购包最高限价（元）: 3,535,460.00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3535460.00</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3,535,460.00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标的名称：3535460.00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12"/>
              <w:gridCol w:w="1037"/>
              <w:gridCol w:w="633"/>
              <w:gridCol w:w="665"/>
            </w:tblGrid>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污水处理设施所在位置</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日处理规模/吨</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处理工艺</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五丰社区污水处理站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茶镇渔丰村污水处理站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峡口镇康宁社区污水处理站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堰口镇肖家湾污水处理站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沙河镇沙河社区污水处理站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白龙塘镇白龙社区污水处理站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骆家坝钟家沟污水处理站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城北街道办四河污水处理站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杨河镇高土坝社区污水处理站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杨河镇土地坪污水处理站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城北街道办枣园污水处理站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城北街道办莲花社区污水处理站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骆家坝骆镇社区污水处理站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私渡镇私渡社区污水处理站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峡口镇左溪村污水处理站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峡口镇峡口社区污水处理站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杨河镇拱桥路边污水处理站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杨河镇拱桥安置点污水处理站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茶镇十二岭污水处理站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桑园镇火地沟村污水理站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沙河镇青龙嘴污水处理站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柳树镇柳树社区污水处理站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堰口镇三合村污水处理站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杨河镇高土坝安置点污水处理站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厌氧＋人工湿地</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堰口镇罗镇村污水处理站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MBR膜工艺</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茶镇渔丰村委会污水处理站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茶镇茶镇村安置点污水处理站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茶镇七星湖景区污水处理站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茶镇双河灌村污水处理站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子午镇三花石社区污水处理站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子午镇七星坝村污水处理站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32</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子午镇汉江村委会污水处理站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33</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子午镇汉江火车站污水处理站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34</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子午镇汉江村码头污水处理站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子午镇檀树坪村污水处理站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36</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子午镇响潭村污水处理站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37</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子午镇王家坝村委会污水处理站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38</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子午镇王家坝安置点污水处理站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39</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子午镇唐兴寺安置点污水处理站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40</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子午镇段家营村委会污水处理站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35m³/d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41</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子午镇段家营小学污水处理站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42</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子午镇张柳村村委会污水处理站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43</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子午镇回龙村污水处理站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44</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子午镇罗家院子污水处理站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r>
              <w:tc>
                <w:tcPr>
                  <w:tcW w:type="dxa" w:w="21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45</w:t>
                  </w:r>
                </w:p>
              </w:tc>
              <w:tc>
                <w:tcPr>
                  <w:tcW w:type="dxa" w:w="10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子午镇民新村污水处理站</w:t>
                  </w:r>
                </w:p>
              </w:tc>
              <w:tc>
                <w:tcPr>
                  <w:tcW w:type="dxa" w:w="63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70m³/d</w:t>
                  </w:r>
                </w:p>
              </w:tc>
              <w:tc>
                <w:tcPr>
                  <w:tcW w:type="dxa" w:w="6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A²O一体化</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（1）服务期限为：三年（每年一签） 每年签约需以甲方对当年度服务满意为前提；三年总费用3535460.00元，按年度均摊。特殊情况费用调整另行协商。 (2) 因本项目为不见面开标，供应商无需在开标现场提交纸质投标文件，待采购结果发布后3个工作日内成交供应商向代理机构提交纸质版投标文件以便于存档，投标文件包括:正本壹份、副本壹份，电子版U盘壹份(含投标文件全部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三年（每年一签）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符合国家及地方水质相关标准，监测数据真实准确，运营台账完整可追溯。由采购方按约定周期（每月）核查水质结果及台账，确认达标后签署验收单；年度结束后进行年度综合验收，作为续约依据。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第一年度工作完成</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第二年度工作完成</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第三年合同签订后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第三年度工作完成</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16.00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项目3年运维周期整体结束，经确认设施无遗留问题、水质达标记录完整后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未按合同要求提供服务或不能满足技术要求，如虚假应标，产品质量问题造成业务流程数据紊乱、业务中断等情形，采购人有权终止合同，并对其违约行为进行追究。采购人与供应商在合同履行期间发生争议时，可以和解或者要求有关主管部门调解。一方不愿和解、调解或者和解、调解不成的，双方可以向汉中市仲裁委员会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落实的政府采购政策：（1）《国务院办公厅关于建立政府强制采购节能产品制度的通知》（国办发〔2007〕51号）； （2）《财政部 司法部关于政府采购支持监狱企业发展有关问题的通知》（财库〔2014〕68号）； （3）《财政部、民政部、中国残疾人联合会关于促进残疾人就业政府采购政策的通知》（财库〔2017〕141号）；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（7）《陕西省财政厅关于印发&lt;陕西省中小企业政府采购信用融资办法&gt;的通知》（陕财办采〔2018〕23 号； （8）陕西省财政厅《关于加快推进我省中小企业政府采购信用融资工作的通知》（陕财办采〔2020〕15号）； （9）陕西省财政厅《关于进一步加强政府绿色采购有关问题的通知》（陕财办采〔2021〕29号）； （10）《陕西省财政厅关于落实政府采购支持中小企业政策有关事项的通知》陕财办采函〔2022〕10号； （11）《关于进一步加大政府采购支持中小企业力度的通知》（财库〔2022〕19号； （12）《关于扩大政府采购支持绿色建材促进建筑品质提升政策实施范围的通知》财库〔2022〕35号； （13）《陕西省财政厅关于进一步落实政府采购支持中小企业相关政策的通知》陕财办采〔2023〕3号； （14）《陕西省财政厅关于进一步优化政府采购营商环境有关事项的通知》陕财办采〔2023〕4号； （15）其他需要落实的政府采购政策。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1、报价唯一；2、报价货币符合招标文件要求；3、未超出采购预算或招标文件规定的最高限价。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与所投项目名称、项目编号一致，且符合招标文件签署盖章要求。</w:t>
            </w:r>
          </w:p>
        </w:tc>
        <w:tc>
          <w:tcPr>
            <w:tcW w:type="dxa" w:w="1661"/>
          </w:tcPr>
          <w:p>
            <w:pPr>
              <w:pStyle w:val="null3"/>
            </w:pPr>
            <w:r>
              <w:rPr>
                <w:rFonts w:ascii="仿宋_GB2312" w:hAnsi="仿宋_GB2312" w:cs="仿宋_GB2312" w:eastAsia="仿宋_GB2312"/>
              </w:rPr>
              <w:t>开标一览表 投标人应提交的相关资格证明材料.docx 服务内容及服务邀请应答表 投标函 中小企业声明函 残疾人福利性单位声明函 商务应答表 服务方案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投标文件有效期满足招标文件的要求。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完全响应招标文件要求的各项技术（服务）条款、商务实质性条款。</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一、评审内容 针对供应商提供的项目运维方案进行综合审核，内容包括： 主要维护工作内容（如日常检查、设备保养等）； 设备维修、配件更换流程； 巡查项目及周期（如每周巡查内容、月度检查重点）； 备品备件储备及故障处理措施（如应急备件清单、24 小时响应机制）； 方案需思路清晰、逻辑严密，符合相关规范及地方法规，具备指导性和可操作性。 二、评分标准 1. 完整性 (8分) 8分：涵盖巡查、维保、水质检测、维修、备件、故障处理、工艺指南，无缺项。 4分：核心内容完整，但1-2项细节不清（如维修流程/水质标准）。 0分：缺失核心项（如无故障处理/水质检测）。 2. 可行性 (7分) 7分：措施具体量化（明确保养周期/水质检测频次/备件清单/故障时限），贴合45站点分散运维及水质达标需求。 4分：措施较明确，但部分模糊（如“定期巡查”）或未充分适配站点需求。 0分：措施笼统，与项目脱节。 3. 规范性 (5分) 5分：符合规范，关键流程（操作/检测/故障处理）步骤清晰。 3分：基本合规，但部分流程简略。 0分：不符合规范或无操作指引。</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针对供应商提供的服务质量保证措施进行审核，需结合本项目实际情况（如服务范围、设施类型等），内容应包括但不限于： 日常服务质量监控机制（如巡检工作现场检查机制，服务质量抽检标准）； 问题响应与整改流程（故障处理时限）； 备品备件保障措施（如备件储备清单、补充机制）； 人员服务岗位责任规范。 二、评分标准 1.完整性 (4分) 4分：含质量监控（含水质数据审核）、问题整改、备件保障、人员规范全流程。 2分：缺1项或流程不闭环。 0分：缺核心机制。 2.针对性 (5分) 5分：措施适配站点特征（就近备件）、强化水质保障。 3分：措施通用，但基本可行。 0分：无项目适配内容。 3.有效性 (3分) 3分：责任到人、量化考核（含水质达标率）、沟通机制完善。 1分：仅概念性描述（如“专人负责”）。 0分：无实质机制。</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一、评审内容 针对供应商提供的项目实施进度安排及按时完成的保证措施进行审核，内容包括： 签约后阶段性进度规划（如前期筹备、服务实施、阶段性验收的衔接逻辑）； 当期服务完成的保障措施（如进度跟踪、资源调配机制）； 验收前的准备及问题整改措施。 二、评分标准 1. 合理性 (4分) 4分：阶段节点清晰（含验收准备），责任到人。 2分：阶段划分基本合理，但部分节点不清。 0分：计划笼统无安排。 2. 有效性 (3分) 3分：有进度跟踪、偏差应急方案、验收自检流程。 1分：仅基础跟踪，无应急/自检措施。 0分：无保障措施。</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一、评审内容 针对供应商对本项目难点、重点的分析及提出的控制措施进行审核，需结合项目具体情况（如服务范围、实施场景等），内容包括： 对项目核心难点（如复杂场景处理、突发情况应对等）的识别与分析； 对项目关键重点（如质量达标、效率保障等）的明确与解读； 针对难点、重点制定的具体控制措施（如预防机制、解决流程等）。 二、评分标准 1. 分析准确性 (3分) 3分：精准识别核心难点（如水质波动、设备故障、分散管理）。 2分：识别主要难点但分析浅。 0分：识别不准或空泛。 2. 措施合理性 (4分) 4分：措施针对难点（如定制化培训/预防性维护），具体可行。 2分：有措施但匹配度/可行性不足。 0分：措施笼统无操作性。</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针对供应商提供的服务过程中各类突发事件应急响应方案进行审核，内容包括： 突发事件类型覆盖（如设备故障、人员突发状况、不可抗力影响等）； 应急响应流程（如上报机制、处理步骤、责任分工）； 应急保障措施（如备用资源、协作单位、事后复盘机制）。 二、评分标准 1. 全面性 (4分) 4分：覆盖设备故障、水质异常、自然灾害等所有类型，响应步骤明确可执行。 2分：覆盖大部分类型，或全类型但响应步骤框架化。 0分：未覆盖核心类型，或所有类型响应措施缺失。 2. 保障力 (3分) 3分：资源明确（备件/人员）、流程可操作（时限量化）、有复盘机制。 1分：资源/流程描述模糊。 0分：无实质内容。</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拟派项目负责人职称</w:t>
            </w:r>
          </w:p>
        </w:tc>
        <w:tc>
          <w:tcPr>
            <w:tcW w:type="dxa" w:w="2492"/>
          </w:tcPr>
          <w:p>
            <w:pPr>
              <w:pStyle w:val="null3"/>
            </w:pPr>
            <w:r>
              <w:rPr>
                <w:rFonts w:ascii="仿宋_GB2312" w:hAnsi="仿宋_GB2312" w:cs="仿宋_GB2312" w:eastAsia="仿宋_GB2312"/>
              </w:rPr>
              <w:t>拟派项目负责人具有环境类相关专业高级工程师及以上职称或污水处理相关运营证书，得5分；具有环境类相关专业工程师职称或相关培训证明，得3分，其他不得分。(需提供身份证、毕业证、职称证或证书复印件)。（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拟派入人员适配性</w:t>
            </w:r>
          </w:p>
        </w:tc>
        <w:tc>
          <w:tcPr>
            <w:tcW w:type="dxa" w:w="2492"/>
          </w:tcPr>
          <w:p>
            <w:pPr>
              <w:pStyle w:val="null3"/>
            </w:pPr>
            <w:r>
              <w:rPr>
                <w:rFonts w:ascii="仿宋_GB2312" w:hAnsi="仿宋_GB2312" w:cs="仿宋_GB2312" w:eastAsia="仿宋_GB2312"/>
              </w:rPr>
              <w:t>一、评审内容 针对供应商拟派项目实施服务人员的结构合理性、从业经验及对运维周期的适配性进行审核。 二、评分标准（总分 6 分） 结构经验（3 分） 3 分：岗位配比合理，核心人员具备 1 年以上相关经验，提供的材料（如劳动合同、人员简历表等）完整且可追溯核验。 2 分：结构基本完整，主要人员均满足至少 1 年相关经验，提供的材料（如劳动合同、人员简历表等）能对经验情况形成有效支撑，但部分材料细节（如具体项目时长、岗位匹配度）可追溯性一般。 0 分：未提供相关材料；或人员结构混乱，无法满足项目基本需求；或多数人员无相关经验且无材料证明。 运维适配（3 分） 3 分：人员配置满足运维全周期需求（含轮班、备勤安排）。 2 分：人员配置基本覆盖运维周期，但备勤机制简略。 0 分：人员配置与运维周期不匹配。</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针对供应商拟派项目实施服务人员的技术培训方案（含培训内容、方式、针对性及可行性）进行审核。 二、评分标准 5 分：分岗位定制内容（技术/操作），方式明确（理论+实操），可行性强。 3 分：有主要内容但未区分岗位，方式常规（如仅理论）。 0 分：未提及培训相关内容，或完全无实质信息。</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审核服务承诺中量化水质目标、人员要求、应急及到场时效是否明确。 二、评分标准 5 分：包含量化水质目标，人员要求清晰，应急响应≤30 分钟且到场≤2 小时，承诺可落地。 3 分：服务质量目标或人员要求表述模糊，或应急响应＞30 分钟、到场时效在 2-4 小时，承诺基本合理但不够具体。 0 分：缺失量化水质目标、清晰人员要求或明确应急时效等核心内容，或应急响应＞4 小时，或无有效承诺。</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本地化服务能力</w:t>
            </w:r>
          </w:p>
        </w:tc>
        <w:tc>
          <w:tcPr>
            <w:tcW w:type="dxa" w:w="2492"/>
          </w:tcPr>
          <w:p>
            <w:pPr>
              <w:pStyle w:val="null3"/>
            </w:pPr>
            <w:r>
              <w:rPr>
                <w:rFonts w:ascii="仿宋_GB2312" w:hAnsi="仿宋_GB2312" w:cs="仿宋_GB2312" w:eastAsia="仿宋_GB2312"/>
              </w:rPr>
              <w:t>一、评审内容 本地备品备件仓库：是否在服务区域内设有备品备件仓库。 本地驻点：是否设有长驻服务点（含服务团队）。 二、评分标准 4 分：同时具备本地备品备件仓库和本地驻点，且能提供基础证明（如仓库/驻点的租赁/权属材料）。 2 分：仅具备其中一项（仓库或驻点），或两项均有但无基础证明。 0 分：两项均不具备。</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企业类似项目业绩</w:t>
            </w:r>
          </w:p>
        </w:tc>
        <w:tc>
          <w:tcPr>
            <w:tcW w:type="dxa" w:w="2492"/>
          </w:tcPr>
          <w:p>
            <w:pPr>
              <w:pStyle w:val="null3"/>
            </w:pPr>
            <w:r>
              <w:rPr>
                <w:rFonts w:ascii="仿宋_GB2312" w:hAnsi="仿宋_GB2312" w:cs="仿宋_GB2312" w:eastAsia="仿宋_GB2312"/>
              </w:rPr>
              <w:t>供应商提供2022年1月1日至今污水处理运维业绩，每提供一个得3分，最高得12分，提供加盖公章的合同或中标通知书复印件；未提供不得分。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1、满足招标文件要求的最低投标报价为评标基准价，供应商的价格得分统一按照下列公式计算：投标报价得分=(评标基准价/投标报价)×10(得分计算结果保留小数点后两位，小数点第三位四舍五入)； 2、本项目为专门面向中小企业项目，专门面向中小企业采购的项目，不再执行价格评审优惠的扶持政策。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详见附件：8-21 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