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版本号：HZ-J2025045C20250806001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2025年西乡县蛋鸡养殖项目监理服务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HZ-J2025045C</w:t>
      </w:r>
      <w:r>
        <w:br/>
      </w:r>
      <w:r>
        <w:br/>
      </w:r>
      <w:r>
        <w:br/>
      </w:r>
    </w:p>
    <w:p>
      <w:pPr>
        <w:pStyle w:val="null3"/>
        <w:jc w:val="center"/>
        <w:outlineLvl w:val="2"/>
      </w:pPr>
      <w:r>
        <w:rPr>
          <w:rFonts w:ascii="仿宋_GB2312" w:hAnsi="仿宋_GB2312" w:cs="仿宋_GB2312" w:eastAsia="仿宋_GB2312"/>
          <w:sz w:val="28"/>
          <w:b/>
        </w:rPr>
        <w:t>西乡县农业农村局</w:t>
      </w:r>
    </w:p>
    <w:p>
      <w:pPr>
        <w:pStyle w:val="null3"/>
        <w:jc w:val="center"/>
        <w:outlineLvl w:val="2"/>
      </w:pPr>
      <w:r>
        <w:rPr>
          <w:rFonts w:ascii="仿宋_GB2312" w:hAnsi="仿宋_GB2312" w:cs="仿宋_GB2312" w:eastAsia="仿宋_GB2312"/>
          <w:sz w:val="28"/>
          <w:b/>
        </w:rPr>
        <w:t>陕西汉正项目管理有限公司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陕西汉正项目管理有限公司</w:t>
      </w:r>
      <w:r>
        <w:rPr>
          <w:rFonts w:ascii="仿宋_GB2312" w:hAnsi="仿宋_GB2312" w:cs="仿宋_GB2312" w:eastAsia="仿宋_GB2312"/>
        </w:rPr>
        <w:t>（以下简称“代理机构”）受</w:t>
      </w:r>
      <w:r>
        <w:rPr>
          <w:rFonts w:ascii="仿宋_GB2312" w:hAnsi="仿宋_GB2312" w:cs="仿宋_GB2312" w:eastAsia="仿宋_GB2312"/>
        </w:rPr>
        <w:t>西乡县农业农村局</w:t>
      </w:r>
      <w:r>
        <w:rPr>
          <w:rFonts w:ascii="仿宋_GB2312" w:hAnsi="仿宋_GB2312" w:cs="仿宋_GB2312" w:eastAsia="仿宋_GB2312"/>
        </w:rPr>
        <w:t>委托，拟对</w:t>
      </w:r>
      <w:r>
        <w:rPr>
          <w:rFonts w:ascii="仿宋_GB2312" w:hAnsi="仿宋_GB2312" w:cs="仿宋_GB2312" w:eastAsia="仿宋_GB2312"/>
        </w:rPr>
        <w:t>2025年西乡县蛋鸡养殖项目监理服务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HZ-J2025045C</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2025年西乡县蛋鸡养殖项目监理服务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2025年西乡县蛋鸡养殖项目进行全过程监理服务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采购包1（2025年西乡县蛋鸡养殖项目监理服务）：属于专门面向中小企业采购。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1、有效的主体资格证明：供应商为具有独立承担民事责任能力的企业法人、负责人或其他组织或自然人，并出具有效的营业执照（事业法人证）或证明文件或自然人的身份证明。</w:t>
      </w:r>
    </w:p>
    <w:p>
      <w:pPr>
        <w:pStyle w:val="null3"/>
      </w:pPr>
      <w:r>
        <w:rPr>
          <w:rFonts w:ascii="仿宋_GB2312" w:hAnsi="仿宋_GB2312" w:cs="仿宋_GB2312" w:eastAsia="仿宋_GB2312"/>
        </w:rPr>
        <w:t>2、供应商应授权合法的人员参加本项目磋商活动全过程：法定代表人直接参加磋商活动的，应出具法定代表人证明书及法定代表人合法有效的身份证扫描件，且应与营业执照上信息一致；法定代表人授权代表参加磋商活动的，应出具法定代表人证明书、法定代表人授权书及授权代表合法有效的身份证扫描件。</w:t>
      </w:r>
    </w:p>
    <w:p>
      <w:pPr>
        <w:pStyle w:val="null3"/>
      </w:pPr>
      <w:r>
        <w:rPr>
          <w:rFonts w:ascii="仿宋_GB2312" w:hAnsi="仿宋_GB2312" w:cs="仿宋_GB2312" w:eastAsia="仿宋_GB2312"/>
        </w:rPr>
        <w:t>3、供应商应具有良好的商业信誉和健全的财务会计制度、具有履行合同所必需的设备和专业技术能力、具有依法缴纳税收和社会保障金的良好记录、参加本项目采购活动前三年内无重大违法活动记录，在信用中国网站未列入“失信被执行人”、“重大税收违法案件当事人名单”、在中国政府采购网未列入“政府采购严重违法失信行为记录名单”：供应商提供《汉中市政府采购供应商资格承诺函》。 注：若供应商未提供《汉中市政府采购供应商资格承诺函》，应当按照《中华人民共和国政府采购法》及其实施条例等相关法律法规规定，提供相应的证明材料： ①财务状况报告：提供2024年度完整有效的财务审计报告，或其响应文件递交截止时间前三个月内基本开户银行出具的资信证明，或财政部门认可的政府采购专业担保机构出具的担保函（以上三种任意一项即可）。（材料应清晰可辨并电子签章） ②社保缴纳证明：提供自2024年8月1日以来已缴存的任意1个月的社会保障资金缴存单据或社保机构开具的社会保险参保缴费情况证明；依法不需要缴纳社会保障资金的供应商应提供相关证明文件。（材料应清晰可辨并电子签章） ③税收缴纳证明：提供自2024年8月1日以来已缴纳的任意1个月的依法缴纳税收的相关凭据(时间以税款所属日期为准)，凭据应有税务机关或代收机关的公章或业务专用章；依法免税或无须缴纳税收的供应商，应提供相应证明文件。（材料应清晰可辨并电子签章） ④提供具有履行合同所必需的设备和专业技术能力的书面承诺。（格式内容自拟并电子签章） ⑤提供参加政府采购活动前三年内在经营活动中没有重大违法记录的书面声明。（格式内容自拟并电子签章） ⑥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此项由采购代理机构查询，查询结果以电子图片或者纸质版存档，如相关失信记录已失效，供应商需提供相关证明资料，若没有则无需提供。）</w:t>
      </w:r>
    </w:p>
    <w:p>
      <w:pPr>
        <w:pStyle w:val="null3"/>
      </w:pPr>
      <w:r>
        <w:rPr>
          <w:rFonts w:ascii="仿宋_GB2312" w:hAnsi="仿宋_GB2312" w:cs="仿宋_GB2312" w:eastAsia="仿宋_GB2312"/>
        </w:rPr>
        <w:t>4、企业资质：供应商需具备建设主管部门核发的房屋建筑工程监理乙级（及以上资质）</w:t>
      </w:r>
    </w:p>
    <w:p>
      <w:pPr>
        <w:pStyle w:val="null3"/>
      </w:pPr>
      <w:r>
        <w:rPr>
          <w:rFonts w:ascii="仿宋_GB2312" w:hAnsi="仿宋_GB2312" w:cs="仿宋_GB2312" w:eastAsia="仿宋_GB2312"/>
        </w:rPr>
        <w:t>5、项目总监：供应商拟派项目总监理工程师具备房屋建筑工程国家注册监理工程师，在本单位注册。拟派项目总监有在监项目的,其在监项目不得超过2个(含2个),且须出具在监项目建设单位的书面同意书。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西乡县农业农村局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西乡县鹿龄路87号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0916-3188531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陕西汉正项目管理有限公司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陕西省西安市高新区科技二路71号竹园天寰国际 1706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夏丽敏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029-81113631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西乡县政府采购管理股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华老师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0916-8151150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采购包1：153,000.00元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采购代理服务收费管理暂行办法的通知》（计价格[2002]1980号）、《国家发展改革委员会办公厅关于招标代理服务收费有关问题的通知》（发改办价格〔2003〕857号）以及《国家发展改革委关于降低部分建设项目收费标准规范收费行为等有关问题的通知》(发改价格〔2011〕534号)的标准收取。（具体金额以采购结果公告发布为准） 户 名：陕西汉正项目管理有限公司 开户行：中国建设银行股份有限公司西安科技二路支行 账 号：61050110771000000926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西乡县农业农村局</w:t>
      </w:r>
      <w:r>
        <w:rPr>
          <w:rFonts w:ascii="仿宋_GB2312" w:hAnsi="仿宋_GB2312" w:cs="仿宋_GB2312" w:eastAsia="仿宋_GB2312"/>
        </w:rPr>
        <w:t>和</w:t>
      </w:r>
      <w:r>
        <w:rPr>
          <w:rFonts w:ascii="仿宋_GB2312" w:hAnsi="仿宋_GB2312" w:cs="仿宋_GB2312" w:eastAsia="仿宋_GB2312"/>
        </w:rPr>
        <w:t>陕西汉正项目管理有限公司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西乡县农业农村局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陕西汉正项目管理有限公司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西乡县农业农村局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陕西汉正项目管理有限公司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必须达到国家及行业现行技术规范标准，符合国家及行业验收合格标准。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陕西汉正项目管理有限公司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陕西汉正项目管理有限公司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陕西汉正项目管理有限公司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联系人：夏丽敏</w:t>
      </w:r>
    </w:p>
    <w:p>
      <w:pPr>
        <w:pStyle w:val="null3"/>
      </w:pPr>
      <w:r>
        <w:rPr>
          <w:rFonts w:ascii="仿宋_GB2312" w:hAnsi="仿宋_GB2312" w:cs="仿宋_GB2312" w:eastAsia="仿宋_GB2312"/>
        </w:rPr>
        <w:t>联系电话：029-81113631</w:t>
      </w:r>
    </w:p>
    <w:p>
      <w:pPr>
        <w:pStyle w:val="null3"/>
      </w:pPr>
      <w:r>
        <w:rPr>
          <w:rFonts w:ascii="仿宋_GB2312" w:hAnsi="仿宋_GB2312" w:cs="仿宋_GB2312" w:eastAsia="仿宋_GB2312"/>
        </w:rPr>
        <w:t>地址：陕西省西安市高新区科技二路71号竹园天寰国际 1706 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1"/>
        </w:rPr>
        <w:t>本项目总建筑面积</w:t>
      </w:r>
      <w:r>
        <w:rPr>
          <w:rFonts w:ascii="仿宋_GB2312" w:hAnsi="仿宋_GB2312" w:cs="仿宋_GB2312" w:eastAsia="仿宋_GB2312"/>
          <w:sz w:val="21"/>
        </w:rPr>
        <w:t>4560平方米，建筑层数为单层，其中1、2号鸡舍一层，檐口高度为4.50米，单体建筑面积为1765.88平方米，3号鸡舍一层，檐口高度为6.70米，单体建筑面积为1507.22平方米;配套建设雨污分流、水、电，场区道路硬化等；对本项目进行监理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153,000.00</w:t>
      </w:r>
    </w:p>
    <w:p>
      <w:pPr>
        <w:pStyle w:val="null3"/>
      </w:pPr>
      <w:r>
        <w:rPr>
          <w:rFonts w:ascii="仿宋_GB2312" w:hAnsi="仿宋_GB2312" w:cs="仿宋_GB2312" w:eastAsia="仿宋_GB2312"/>
        </w:rPr>
        <w:t>采购包最高限价（元）: 153,000.00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2025年西乡县蛋鸡养殖项目监理服务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153,000.00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标的名称：2025年西乡县蛋鸡养殖项目监理服务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（一）建设规模及内容：</w:t>
            </w:r>
          </w:p>
          <w:p>
            <w:pPr>
              <w:pStyle w:val="null3"/>
            </w:pPr>
            <w:r>
              <w:rPr>
                <w:rFonts w:ascii="仿宋_GB2312" w:hAnsi="仿宋_GB2312" w:cs="仿宋_GB2312" w:eastAsia="仿宋_GB2312"/>
                <w:sz w:val="21"/>
              </w:rPr>
              <w:t xml:space="preserve">        本项目总建筑面积4560平方米，建筑层数为单层，其中1、2号鸡舍一层，檐口高度为4.50米，单体建筑面积为1765.88平方米，3号鸡舍一层，檐口高度为6.70米，单体建筑面积为1507.22平方米;配套建设雨污分流、水、电，场区道路硬化等。</w:t>
            </w:r>
          </w:p>
          <w:p>
            <w:pPr>
              <w:pStyle w:val="null3"/>
            </w:pPr>
            <w:r>
              <w:rPr>
                <w:rFonts w:ascii="仿宋_GB2312" w:hAnsi="仿宋_GB2312" w:cs="仿宋_GB2312" w:eastAsia="仿宋_GB2312"/>
                <w:sz w:val="21"/>
              </w:rPr>
              <w:t>（二）招标范围：</w:t>
            </w:r>
          </w:p>
          <w:p>
            <w:pPr>
              <w:pStyle w:val="null3"/>
              <w:ind w:firstLine="440"/>
            </w:pPr>
            <w:r>
              <w:rPr>
                <w:rFonts w:ascii="仿宋_GB2312" w:hAnsi="仿宋_GB2312" w:cs="仿宋_GB2312" w:eastAsia="仿宋_GB2312"/>
                <w:sz w:val="21"/>
              </w:rPr>
              <w:t>本项目招标范围内包含施工、保修期范围内全方位、全过程的监理工作与相关服务，包含但不限于：施工过程中的造价控制、质量控制、进度控制，安全生产监督管理、协调管理工作等。</w:t>
            </w:r>
          </w:p>
          <w:p>
            <w:pPr>
              <w:pStyle w:val="null3"/>
            </w:pPr>
            <w:r>
              <w:rPr>
                <w:rFonts w:ascii="仿宋_GB2312" w:hAnsi="仿宋_GB2312" w:cs="仿宋_GB2312" w:eastAsia="仿宋_GB2312"/>
                <w:sz w:val="21"/>
              </w:rPr>
              <w:t>（三）监理标准：</w:t>
            </w:r>
          </w:p>
          <w:p>
            <w:pPr>
              <w:pStyle w:val="null3"/>
            </w:pPr>
            <w:r>
              <w:rPr>
                <w:rFonts w:ascii="仿宋_GB2312" w:hAnsi="仿宋_GB2312" w:cs="仿宋_GB2312" w:eastAsia="仿宋_GB2312"/>
                <w:sz w:val="21"/>
              </w:rPr>
              <w:t xml:space="preserve">       1.监理服务须符合《建设工程监理规范》。</w:t>
            </w:r>
          </w:p>
          <w:p>
            <w:pPr>
              <w:pStyle w:val="null3"/>
            </w:pPr>
            <w:r>
              <w:rPr>
                <w:rFonts w:ascii="仿宋_GB2312" w:hAnsi="仿宋_GB2312" w:cs="仿宋_GB2312" w:eastAsia="仿宋_GB2312"/>
                <w:sz w:val="21"/>
              </w:rPr>
              <w:t xml:space="preserve">       2.本次所监工程项目须符合国家现行有关施工质量验收规范“合格”要求。</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项目监理机构人员应专业配套齐全、年龄结构合理、人员资格满足建设工程监理合同约定和现场监理工作需要。</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建设工程监理的设施设备配置是保障监理工作有效开展的基础，需结合工程规模、技术难度、现场条件等因素，满足监理单位对工程质量、安全、进度、造价等方面的监督管理需求。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监理合同生效之日起至工程竣工验收合格并交付使用（施工工期为90日历天）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项目实施地</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符合国家现行有关施工质量验收规范“合格”要求，满足合同约定和设计文件要求（如图纸、技术交底、变更单等）。</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工程竣工验收合格</w:t>
      </w:r>
      <w:r>
        <w:rPr>
          <w:rFonts w:ascii="仿宋_GB2312" w:hAnsi="仿宋_GB2312" w:cs="仿宋_GB2312" w:eastAsia="仿宋_GB2312"/>
        </w:rPr>
        <w:t xml:space="preserve"> ，达到付款条件起 </w:t>
      </w:r>
      <w:r>
        <w:rPr>
          <w:rFonts w:ascii="仿宋_GB2312" w:hAnsi="仿宋_GB2312" w:cs="仿宋_GB2312" w:eastAsia="仿宋_GB2312"/>
        </w:rPr>
        <w:t>50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合同在履行过程中发生的争议，当事人双方应协商解决，协商达不成一致时，可向采购方所在地仲裁委员会申请仲裁或者向人民法院提请诉讼。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1.特别注意:为顺利推进政府采购电子化交易平台应用工作，供应商均在线提交所有通过电子化交易平台实施的政府采购项目的磋商响应文件。 2.成交供应商在采购结果发布后3个工作日内向代理机构提交纸质版响应文件以便于存档，响应文件正本1份，副本1份（可以使用签章文件直接打印），电子版文件1份（以U盘为载体，PDF格式）。线下递交响应文件地点：汉中市南郑区南郑大道南300米（南郑工业园区管委会二楼）。 3.如磋商文件中中小企业融资相关内容与新政策要求有出入，按照最新要求执行。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供应商为具有独立承担民事责任能力的企业法人、负责人或其他组织或自然人，并出具有效的营业执照（事业法人证）或证明文件或自然人的身份证明。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供应商应授权合法的人员参加本项目磋商活动全过程</w:t>
            </w:r>
          </w:p>
        </w:tc>
        <w:tc>
          <w:tcPr>
            <w:tcW w:type="dxa" w:w="3322"/>
          </w:tcPr>
          <w:p>
            <w:pPr>
              <w:pStyle w:val="null3"/>
            </w:pPr>
            <w:r>
              <w:rPr>
                <w:rFonts w:ascii="仿宋_GB2312" w:hAnsi="仿宋_GB2312" w:cs="仿宋_GB2312" w:eastAsia="仿宋_GB2312"/>
              </w:rPr>
              <w:t>法定代表人直接参加磋商活动的，应出具法定代表人证明书及法定代表人合法有效的身份证扫描件，且应与营业执照上信息一致；法定代表人授权代表参加磋商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在信用中国网站未列入“失信被执行人”、“重大税收违法案件当事人名单”、在中国政府采购网未列入“政府采购严重违法失信行为记录名单”</w:t>
            </w:r>
          </w:p>
        </w:tc>
        <w:tc>
          <w:tcPr>
            <w:tcW w:type="dxa" w:w="3322"/>
          </w:tcPr>
          <w:p>
            <w:pPr>
              <w:pStyle w:val="null3"/>
            </w:pPr>
            <w:r>
              <w:rPr>
                <w:rFonts w:ascii="仿宋_GB2312" w:hAnsi="仿宋_GB2312" w:cs="仿宋_GB2312" w:eastAsia="仿宋_GB2312"/>
              </w:rPr>
              <w:t>供应商提供《汉中市政府采购供应商资格承诺函》。 注：若供应商未提供《汉中市政府采购供应商资格承诺函》，应当按照《中华人民共和国政府采购法》及其实施条例等相关法律法规规定，提供相应的证明材料： ①财务状况报告：提供2024年度完整有效的财务审计报告，或其响应文件递交截止时间前三个月内基本开户银行出具的资信证明，或财政部门认可的政府采购专业担保机构出具的担保函（以上三种任意一项即可）。（材料应清晰可辨并电子签章） ②社保缴纳证明：提供自2024年8月1日以来已缴存的任意1个月的社会保障资金缴存单据或社保机构开具的社会保险参保缴费情况证明；依法不需要缴纳社会保障资金的供应商应提供相关证明文件。（材料应清晰可辨并电子签章） ③税收缴纳证明：提供自2024年8月1日以来已缴纳的任意1个月的依法缴纳税收的相关凭据(时间以税款所属日期为准)，凭据应有税务机关或代收机关的公章或业务专用章；依法免税或无须缴纳税收的供应商，应提供相应证明文件。（材料应清晰可辨并电子签章） ④提供具有履行合同所必需的设备和专业技术能力的书面承诺。（格式内容自拟并电子签章） ⑤提供参加政府采购活动前三年内在经营活动中没有重大违法记录的书面声明。（格式内容自拟并电子签章） ⑥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此项由采购代理机构查询，查询结果以电子图片或者纸质版存档，如相关失信记录已失效，供应商需提供相关证明资料，若没有则无需提供。）</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供应商需具备建设主管部门核发的房屋建筑工程监理乙级（及以上资质）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项目总监</w:t>
            </w:r>
          </w:p>
        </w:tc>
        <w:tc>
          <w:tcPr>
            <w:tcW w:type="dxa" w:w="3322"/>
          </w:tcPr>
          <w:p>
            <w:pPr>
              <w:pStyle w:val="null3"/>
            </w:pPr>
            <w:r>
              <w:rPr>
                <w:rFonts w:ascii="仿宋_GB2312" w:hAnsi="仿宋_GB2312" w:cs="仿宋_GB2312" w:eastAsia="仿宋_GB2312"/>
              </w:rPr>
              <w:t>供应商拟派项目总监理工程师具备房屋建筑工程国家注册监理工程师，在本单位注册。拟派项目总监有在监项目的,其在监项目不得超过2个(含2个),且须出具在监项目建设单位的书面同意书。</w:t>
            </w:r>
          </w:p>
        </w:tc>
        <w:tc>
          <w:tcPr>
            <w:tcW w:type="dxa" w:w="1661"/>
          </w:tcPr>
          <w:p>
            <w:pPr>
              <w:pStyle w:val="null3"/>
            </w:pPr>
            <w:r>
              <w:rPr>
                <w:rFonts w:ascii="仿宋_GB2312" w:hAnsi="仿宋_GB2312" w:cs="仿宋_GB2312" w:eastAsia="仿宋_GB2312"/>
              </w:rPr>
              <w:t>供应商应提交的相关资格证明材料.docx 项目总监简历表.docx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供应商应当使用纳入陕西省政府采购综合管理平台数字 证书互认范围的数字证书及签章进行系统操作。（供应商对其系统操作行为和电子签章确认的事项承担法律责任）</w:t>
            </w:r>
          </w:p>
        </w:tc>
        <w:tc>
          <w:tcPr>
            <w:tcW w:type="dxa" w:w="1661"/>
          </w:tcPr>
          <w:p>
            <w:pPr>
              <w:pStyle w:val="null3"/>
            </w:pPr>
            <w:r>
              <w:rPr>
                <w:rFonts w:ascii="仿宋_GB2312" w:hAnsi="仿宋_GB2312" w:cs="仿宋_GB2312" w:eastAsia="仿宋_GB2312"/>
              </w:rPr>
              <w:t>中小企业声明函 监理大纲.docx 报价表 响应文件封面 企业业绩一览表.docx 供应商应提交的相关资格证明材料.docx 残疾人福利性单位声明函 标的清单 项目总监简历表.docx 服务内容及服务要求应答表.docx 拟派项目团队人员配置表.docx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 超过采购预算金额或最高限价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报价表 服务内容及服务要求应答表.docx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质量监理目标及措施</w:t>
            </w:r>
          </w:p>
        </w:tc>
        <w:tc>
          <w:tcPr>
            <w:tcW w:type="dxa" w:w="2492"/>
          </w:tcPr>
          <w:p>
            <w:pPr>
              <w:pStyle w:val="null3"/>
            </w:pPr>
            <w:r>
              <w:rPr>
                <w:rFonts w:ascii="仿宋_GB2312" w:hAnsi="仿宋_GB2312" w:cs="仿宋_GB2312" w:eastAsia="仿宋_GB2312"/>
              </w:rPr>
              <w:t>质量目标明确，措施有力者，得7.1-10分；质量目标较明确、措施较合理，得4.1-7分；质量目标基本明确、措施基本合理，得1-4分；无此内容不得分。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监理大纲.docx</w:t>
            </w:r>
          </w:p>
        </w:tc>
      </w:tr>
      <w:tr>
        <w:tc>
          <w:tcPr>
            <w:tcW w:type="dxa" w:w="831"/>
            <w:vMerge/>
          </w:tcPr>
          <w:p/>
        </w:tc>
        <w:tc>
          <w:tcPr>
            <w:tcW w:type="dxa" w:w="1661"/>
          </w:tcPr>
          <w:p>
            <w:pPr>
              <w:pStyle w:val="null3"/>
            </w:pPr>
            <w:r>
              <w:rPr>
                <w:rFonts w:ascii="仿宋_GB2312" w:hAnsi="仿宋_GB2312" w:cs="仿宋_GB2312" w:eastAsia="仿宋_GB2312"/>
              </w:rPr>
              <w:t>投资控制的程序和措施</w:t>
            </w:r>
          </w:p>
        </w:tc>
        <w:tc>
          <w:tcPr>
            <w:tcW w:type="dxa" w:w="2492"/>
          </w:tcPr>
          <w:p>
            <w:pPr>
              <w:pStyle w:val="null3"/>
            </w:pPr>
            <w:r>
              <w:rPr>
                <w:rFonts w:ascii="仿宋_GB2312" w:hAnsi="仿宋_GB2312" w:cs="仿宋_GB2312" w:eastAsia="仿宋_GB2312"/>
              </w:rPr>
              <w:t>造价控制程序清晰明确，措施有力者，得7.1-10分；造价控制程序较明确、措施较合理，得4.1-7分；造价控制程序基本明确、措施基本合理，得1-4分；无此内容不得分。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监理大纲.docx</w:t>
            </w:r>
          </w:p>
        </w:tc>
      </w:tr>
      <w:tr>
        <w:tc>
          <w:tcPr>
            <w:tcW w:type="dxa" w:w="831"/>
            <w:vMerge/>
          </w:tcPr>
          <w:p/>
        </w:tc>
        <w:tc>
          <w:tcPr>
            <w:tcW w:type="dxa" w:w="1661"/>
          </w:tcPr>
          <w:p>
            <w:pPr>
              <w:pStyle w:val="null3"/>
            </w:pPr>
            <w:r>
              <w:rPr>
                <w:rFonts w:ascii="仿宋_GB2312" w:hAnsi="仿宋_GB2312" w:cs="仿宋_GB2312" w:eastAsia="仿宋_GB2312"/>
              </w:rPr>
              <w:t>监理进度目标及措施</w:t>
            </w:r>
          </w:p>
        </w:tc>
        <w:tc>
          <w:tcPr>
            <w:tcW w:type="dxa" w:w="2492"/>
          </w:tcPr>
          <w:p>
            <w:pPr>
              <w:pStyle w:val="null3"/>
            </w:pPr>
            <w:r>
              <w:rPr>
                <w:rFonts w:ascii="仿宋_GB2312" w:hAnsi="仿宋_GB2312" w:cs="仿宋_GB2312" w:eastAsia="仿宋_GB2312"/>
              </w:rPr>
              <w:t>进度目标明确，措施有力者，得7.1-10分；进度目标较明确、措施较合理，得4.1-7分；进度目标基本明确、措施基本合理，得1-4分；无此内容不得分。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监理大纲.docx</w:t>
            </w:r>
          </w:p>
        </w:tc>
      </w:tr>
      <w:tr>
        <w:tc>
          <w:tcPr>
            <w:tcW w:type="dxa" w:w="831"/>
            <w:vMerge/>
          </w:tcPr>
          <w:p/>
        </w:tc>
        <w:tc>
          <w:tcPr>
            <w:tcW w:type="dxa" w:w="1661"/>
          </w:tcPr>
          <w:p>
            <w:pPr>
              <w:pStyle w:val="null3"/>
            </w:pPr>
            <w:r>
              <w:rPr>
                <w:rFonts w:ascii="仿宋_GB2312" w:hAnsi="仿宋_GB2312" w:cs="仿宋_GB2312" w:eastAsia="仿宋_GB2312"/>
              </w:rPr>
              <w:t>合同及信息管理</w:t>
            </w:r>
          </w:p>
        </w:tc>
        <w:tc>
          <w:tcPr>
            <w:tcW w:type="dxa" w:w="2492"/>
          </w:tcPr>
          <w:p>
            <w:pPr>
              <w:pStyle w:val="null3"/>
            </w:pPr>
            <w:r>
              <w:rPr>
                <w:rFonts w:ascii="仿宋_GB2312" w:hAnsi="仿宋_GB2312" w:cs="仿宋_GB2312" w:eastAsia="仿宋_GB2312"/>
              </w:rPr>
              <w:t>内容完整、方法手段先进、措施有力者，得7.1-10分；内容较完整、方法措施较合理，得4.1-7分；内容基本完整、方法措施基本合理，得1-4分；无此内容不得分。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监理大纲.docx</w:t>
            </w:r>
          </w:p>
        </w:tc>
      </w:tr>
      <w:tr>
        <w:tc>
          <w:tcPr>
            <w:tcW w:type="dxa" w:w="831"/>
            <w:vMerge/>
          </w:tcPr>
          <w:p/>
        </w:tc>
        <w:tc>
          <w:tcPr>
            <w:tcW w:type="dxa" w:w="1661"/>
          </w:tcPr>
          <w:p>
            <w:pPr>
              <w:pStyle w:val="null3"/>
            </w:pPr>
            <w:r>
              <w:rPr>
                <w:rFonts w:ascii="仿宋_GB2312" w:hAnsi="仿宋_GB2312" w:cs="仿宋_GB2312" w:eastAsia="仿宋_GB2312"/>
              </w:rPr>
              <w:t>安全生产管理职责</w:t>
            </w:r>
          </w:p>
        </w:tc>
        <w:tc>
          <w:tcPr>
            <w:tcW w:type="dxa" w:w="2492"/>
          </w:tcPr>
          <w:p>
            <w:pPr>
              <w:pStyle w:val="null3"/>
            </w:pPr>
            <w:r>
              <w:rPr>
                <w:rFonts w:ascii="仿宋_GB2312" w:hAnsi="仿宋_GB2312" w:cs="仿宋_GB2312" w:eastAsia="仿宋_GB2312"/>
              </w:rPr>
              <w:t>安全生产管理措施和安全生产管理制度，措施及制度完善、合理，得7.1-10分；措施及制度较完善较合理，得4.1-7分；措施及制度基本完善基本合理，得1-4分；无此内容不得分。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监理大纲.docx</w:t>
            </w:r>
          </w:p>
        </w:tc>
      </w:tr>
      <w:tr>
        <w:tc>
          <w:tcPr>
            <w:tcW w:type="dxa" w:w="831"/>
            <w:vMerge/>
          </w:tcPr>
          <w:p/>
        </w:tc>
        <w:tc>
          <w:tcPr>
            <w:tcW w:type="dxa" w:w="1661"/>
          </w:tcPr>
          <w:p>
            <w:pPr>
              <w:pStyle w:val="null3"/>
            </w:pPr>
            <w:r>
              <w:rPr>
                <w:rFonts w:ascii="仿宋_GB2312" w:hAnsi="仿宋_GB2312" w:cs="仿宋_GB2312" w:eastAsia="仿宋_GB2312"/>
              </w:rPr>
              <w:t>组织协调</w:t>
            </w:r>
          </w:p>
        </w:tc>
        <w:tc>
          <w:tcPr>
            <w:tcW w:type="dxa" w:w="2492"/>
          </w:tcPr>
          <w:p>
            <w:pPr>
              <w:pStyle w:val="null3"/>
            </w:pPr>
            <w:r>
              <w:rPr>
                <w:rFonts w:ascii="仿宋_GB2312" w:hAnsi="仿宋_GB2312" w:cs="仿宋_GB2312" w:eastAsia="仿宋_GB2312"/>
              </w:rPr>
              <w:t>沟通机制、沟通措施及沟通优势，针对施工中各种矛盾组织协调具有明确沟通方法与方式，方法和措施完善、合理，得3.1-5分；方法和措施基本完善、基本合理，得1-3分；无此内容不得分。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监理大纲.docx</w:t>
            </w:r>
          </w:p>
        </w:tc>
      </w:tr>
      <w:tr>
        <w:tc>
          <w:tcPr>
            <w:tcW w:type="dxa" w:w="831"/>
            <w:vMerge/>
          </w:tcPr>
          <w:p/>
        </w:tc>
        <w:tc>
          <w:tcPr>
            <w:tcW w:type="dxa" w:w="1661"/>
          </w:tcPr>
          <w:p>
            <w:pPr>
              <w:pStyle w:val="null3"/>
            </w:pPr>
            <w:r>
              <w:rPr>
                <w:rFonts w:ascii="仿宋_GB2312" w:hAnsi="仿宋_GB2312" w:cs="仿宋_GB2312" w:eastAsia="仿宋_GB2312"/>
              </w:rPr>
              <w:t>监理工作制度</w:t>
            </w:r>
          </w:p>
        </w:tc>
        <w:tc>
          <w:tcPr>
            <w:tcW w:type="dxa" w:w="2492"/>
          </w:tcPr>
          <w:p>
            <w:pPr>
              <w:pStyle w:val="null3"/>
            </w:pPr>
            <w:r>
              <w:rPr>
                <w:rFonts w:ascii="仿宋_GB2312" w:hAnsi="仿宋_GB2312" w:cs="仿宋_GB2312" w:eastAsia="仿宋_GB2312"/>
              </w:rPr>
              <w:t>监理工作基本制度：监理部各项工作管理制度健全、严谨得3.1-5分；监理部各项工作管理制度基本健全，得1-3分；无此内容不得分。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监理大纲.docx</w:t>
            </w:r>
          </w:p>
        </w:tc>
      </w:tr>
      <w:tr>
        <w:tc>
          <w:tcPr>
            <w:tcW w:type="dxa" w:w="831"/>
            <w:vMerge/>
          </w:tcPr>
          <w:p/>
        </w:tc>
        <w:tc>
          <w:tcPr>
            <w:tcW w:type="dxa" w:w="1661"/>
          </w:tcPr>
          <w:p>
            <w:pPr>
              <w:pStyle w:val="null3"/>
            </w:pPr>
            <w:r>
              <w:rPr>
                <w:rFonts w:ascii="仿宋_GB2312" w:hAnsi="仿宋_GB2312" w:cs="仿宋_GB2312" w:eastAsia="仿宋_GB2312"/>
              </w:rPr>
              <w:t>监理设施制度</w:t>
            </w:r>
          </w:p>
        </w:tc>
        <w:tc>
          <w:tcPr>
            <w:tcW w:type="dxa" w:w="2492"/>
          </w:tcPr>
          <w:p>
            <w:pPr>
              <w:pStyle w:val="null3"/>
            </w:pPr>
            <w:r>
              <w:rPr>
                <w:rFonts w:ascii="仿宋_GB2312" w:hAnsi="仿宋_GB2312" w:cs="仿宋_GB2312" w:eastAsia="仿宋_GB2312"/>
              </w:rPr>
              <w:t>拟投入的监理设施、设备及配置健全得3.1-5分，监理设施、设备及配置基本合理，得1-3分；无此内容不得分。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监理大纲.docx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提供2022年8月1日以来完成的类似项目业绩：每有一个类似项目业绩得2.5分,最高5分。无此项内容不得分。 注：业绩以合同（协议书)为准。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企业业绩一览表.docx</w:t>
            </w:r>
          </w:p>
        </w:tc>
      </w:tr>
      <w:tr>
        <w:tc>
          <w:tcPr>
            <w:tcW w:type="dxa" w:w="831"/>
            <w:vMerge/>
          </w:tcPr>
          <w:p/>
        </w:tc>
        <w:tc>
          <w:tcPr>
            <w:tcW w:type="dxa" w:w="1661"/>
          </w:tcPr>
          <w:p>
            <w:pPr>
              <w:pStyle w:val="null3"/>
            </w:pPr>
            <w:r>
              <w:rPr>
                <w:rFonts w:ascii="仿宋_GB2312" w:hAnsi="仿宋_GB2312" w:cs="仿宋_GB2312" w:eastAsia="仿宋_GB2312"/>
              </w:rPr>
              <w:t>拟派项目团队人员</w:t>
            </w:r>
          </w:p>
        </w:tc>
        <w:tc>
          <w:tcPr>
            <w:tcW w:type="dxa" w:w="2492"/>
          </w:tcPr>
          <w:p>
            <w:pPr>
              <w:pStyle w:val="null3"/>
            </w:pPr>
            <w:r>
              <w:rPr>
                <w:rFonts w:ascii="仿宋_GB2312" w:hAnsi="仿宋_GB2312" w:cs="仿宋_GB2312" w:eastAsia="仿宋_GB2312"/>
              </w:rPr>
              <w:t>1.注册比例（5分）：注册比例70%以上得5分，30-70%得3分，少于30%不得分。 2.职称比例（5分）：中级及以上职称比例70%以上的得5分，30-70%得3分，少于30%不得分。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拟派项目团队人员配置表.docx</w:t>
            </w:r>
          </w:p>
        </w:tc>
      </w:tr>
      <w:tr>
        <w:tc>
          <w:tcPr>
            <w:tcW w:type="dxa" w:w="831"/>
            <w:vMerge/>
          </w:tcPr>
          <w:p/>
        </w:tc>
        <w:tc>
          <w:tcPr>
            <w:tcW w:type="dxa" w:w="1661"/>
          </w:tcPr>
          <w:p>
            <w:pPr>
              <w:pStyle w:val="null3"/>
            </w:pPr>
            <w:r>
              <w:rPr>
                <w:rFonts w:ascii="仿宋_GB2312" w:hAnsi="仿宋_GB2312" w:cs="仿宋_GB2312" w:eastAsia="仿宋_GB2312"/>
              </w:rPr>
              <w:t>总监理工程师职称</w:t>
            </w:r>
          </w:p>
        </w:tc>
        <w:tc>
          <w:tcPr>
            <w:tcW w:type="dxa" w:w="2492"/>
          </w:tcPr>
          <w:p>
            <w:pPr>
              <w:pStyle w:val="null3"/>
            </w:pPr>
            <w:r>
              <w:rPr>
                <w:rFonts w:ascii="仿宋_GB2312" w:hAnsi="仿宋_GB2312" w:cs="仿宋_GB2312" w:eastAsia="仿宋_GB2312"/>
              </w:rPr>
              <w:t>具备（建筑工程类）中级及以上职称得5分，其他不得分。 注：响应文件内附技术职称。</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项目总监简历表.docx</w:t>
            </w:r>
          </w:p>
        </w:tc>
      </w:tr>
      <w:tr>
        <w:tc>
          <w:tcPr>
            <w:tcW w:type="dxa" w:w="831"/>
            <w:vMerge/>
          </w:tcPr>
          <w:p/>
        </w:tc>
        <w:tc>
          <w:tcPr>
            <w:tcW w:type="dxa" w:w="1661"/>
          </w:tcPr>
          <w:p>
            <w:pPr>
              <w:pStyle w:val="null3"/>
            </w:pPr>
            <w:r>
              <w:rPr>
                <w:rFonts w:ascii="仿宋_GB2312" w:hAnsi="仿宋_GB2312" w:cs="仿宋_GB2312" w:eastAsia="仿宋_GB2312"/>
              </w:rPr>
              <w:t>总监理工程师业绩</w:t>
            </w:r>
          </w:p>
        </w:tc>
        <w:tc>
          <w:tcPr>
            <w:tcW w:type="dxa" w:w="2492"/>
          </w:tcPr>
          <w:p>
            <w:pPr>
              <w:pStyle w:val="null3"/>
            </w:pPr>
            <w:r>
              <w:rPr>
                <w:rFonts w:ascii="仿宋_GB2312" w:hAnsi="仿宋_GB2312" w:cs="仿宋_GB2312" w:eastAsia="仿宋_GB2312"/>
              </w:rPr>
              <w:t>提供2022年8月1日以来完成的类似项目业绩：每有一个类似项目业绩得2.5分,最高5分。无此项内容不得分。 注：业绩以合同（协议书)为准。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项目总监简历表.docx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1、上限为采购预算价，即报价大于上限价视为无效响应； 2、以满足本次磋商文件要求的最低报价为评审基准价，其价格为满分； 3、供应商报价得分=（评审基准价/报价）×10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详见附件：监理大纲.docx</w:t>
      </w:r>
    </w:p>
    <w:p>
      <w:pPr>
        <w:pStyle w:val="null3"/>
        <w:ind w:firstLine="960"/>
      </w:pPr>
      <w:r>
        <w:rPr>
          <w:rFonts w:ascii="仿宋_GB2312" w:hAnsi="仿宋_GB2312" w:cs="仿宋_GB2312" w:eastAsia="仿宋_GB2312"/>
        </w:rPr>
        <w:t>详见附件：企业业绩一览表.docx</w:t>
      </w:r>
    </w:p>
    <w:p>
      <w:pPr>
        <w:pStyle w:val="null3"/>
        <w:ind w:firstLine="960"/>
      </w:pPr>
      <w:r>
        <w:rPr>
          <w:rFonts w:ascii="仿宋_GB2312" w:hAnsi="仿宋_GB2312" w:cs="仿宋_GB2312" w:eastAsia="仿宋_GB2312"/>
        </w:rPr>
        <w:t>详见附件：拟派项目团队人员配置表.docx</w:t>
      </w:r>
    </w:p>
    <w:p>
      <w:pPr>
        <w:pStyle w:val="null3"/>
        <w:ind w:firstLine="960"/>
      </w:pPr>
      <w:r>
        <w:rPr>
          <w:rFonts w:ascii="仿宋_GB2312" w:hAnsi="仿宋_GB2312" w:cs="仿宋_GB2312" w:eastAsia="仿宋_GB2312"/>
        </w:rPr>
        <w:t>详见附件：项目总监简历表.docx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