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版本号：HZ-J2025046C20250808001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西乡县工业大道东段连接线电力线路迁改工程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HZ-J2025046C</w:t>
      </w:r>
      <w:r>
        <w:br/>
      </w:r>
      <w:r>
        <w:br/>
      </w:r>
      <w:r>
        <w:br/>
      </w:r>
    </w:p>
    <w:p>
      <w:pPr>
        <w:pStyle w:val="null3"/>
        <w:jc w:val="center"/>
        <w:outlineLvl w:val="2"/>
      </w:pPr>
      <w:r>
        <w:rPr>
          <w:rFonts w:ascii="仿宋_GB2312" w:hAnsi="仿宋_GB2312" w:cs="仿宋_GB2312" w:eastAsia="仿宋_GB2312"/>
          <w:sz w:val="28"/>
          <w:b/>
        </w:rPr>
        <w:t>西乡县交通运输局</w:t>
      </w:r>
    </w:p>
    <w:p>
      <w:pPr>
        <w:pStyle w:val="null3"/>
        <w:jc w:val="center"/>
        <w:outlineLvl w:val="2"/>
      </w:pPr>
      <w:r>
        <w:rPr>
          <w:rFonts w:ascii="仿宋_GB2312" w:hAnsi="仿宋_GB2312" w:cs="仿宋_GB2312" w:eastAsia="仿宋_GB2312"/>
          <w:sz w:val="28"/>
          <w:b/>
        </w:rPr>
        <w:t>陕西汉正项目管理有限公司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陕西汉正项目管理有限公司</w:t>
      </w:r>
      <w:r>
        <w:rPr>
          <w:rFonts w:ascii="仿宋_GB2312" w:hAnsi="仿宋_GB2312" w:cs="仿宋_GB2312" w:eastAsia="仿宋_GB2312"/>
        </w:rPr>
        <w:t>（以下简称“代理机构”）受</w:t>
      </w:r>
      <w:r>
        <w:rPr>
          <w:rFonts w:ascii="仿宋_GB2312" w:hAnsi="仿宋_GB2312" w:cs="仿宋_GB2312" w:eastAsia="仿宋_GB2312"/>
        </w:rPr>
        <w:t>西乡县交通运输局</w:t>
      </w:r>
      <w:r>
        <w:rPr>
          <w:rFonts w:ascii="仿宋_GB2312" w:hAnsi="仿宋_GB2312" w:cs="仿宋_GB2312" w:eastAsia="仿宋_GB2312"/>
        </w:rPr>
        <w:t>委托，拟对</w:t>
      </w:r>
      <w:r>
        <w:rPr>
          <w:rFonts w:ascii="仿宋_GB2312" w:hAnsi="仿宋_GB2312" w:cs="仿宋_GB2312" w:eastAsia="仿宋_GB2312"/>
        </w:rPr>
        <w:t>西乡县工业大道东段连接线电力线路迁改工程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HZ-J2025046C</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西乡县工业大道东段连接线电力线路迁改工程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西乡县工业大道东段连接线电力线路迁改工程沿线拆除10KV线路、拆除0.4KV线路:新建10KV线路、新建0.4KV线路(包含拆除方案、临时过渡方案、正式迁改方案)（具体详见本项目工程量清单）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采购包1（西乡县工业大道东段连接线电力线路迁改工程）：属于专门面向中小企业采购。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本项目磋商活动全过程：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p>
      <w:pPr>
        <w:pStyle w:val="null3"/>
      </w:pPr>
      <w:r>
        <w:rPr>
          <w:rFonts w:ascii="仿宋_GB2312" w:hAnsi="仿宋_GB2312" w:cs="仿宋_GB2312" w:eastAsia="仿宋_GB2312"/>
        </w:rPr>
        <w:t>2、有效的主体资格证明：供应商为具有独立承担民事责任能力的企业法人、负责人或其他组织或自然人，并出具有效的营业执照（事业法人证）或证明文件或自然人的身份证明；</w:t>
      </w:r>
    </w:p>
    <w:p>
      <w:pPr>
        <w:pStyle w:val="null3"/>
      </w:pPr>
      <w:r>
        <w:rPr>
          <w:rFonts w:ascii="仿宋_GB2312" w:hAnsi="仿宋_GB2312" w:cs="仿宋_GB2312" w:eastAsia="仿宋_GB2312"/>
        </w:rPr>
        <w:t>3、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供应商须提供《汉中市政府采购供应商资格承诺函》； 注：供应商未提供《汉中市政府采购供应商资格承诺函》的，应当按照《中华人民共和国政府采购法》及其实施条例等相关法律法规要求提供相应的证明材料。相应证明材料如下： 1.财务状况报告:提供2024年度经审计的完整有效财务报告，或其响应文件递交截止时间前三个月内基本开户银行出具的资信证明，或财政部门认可的政府采购专业担保机构出具的担保函(以上三种任意一项即可)。（材料应清晰可辨，加盖公章） 2.税收缴纳证明:提供自2024年8月1日以来已缴纳的任意1个月的依法缴纳税收的相关凭据(时间以税款所属日期为准)，凭据应有税务机关或代收机关的公章或业务专用章; 依法免税或无须缴纳税收的供应商，应提供相应证明文件。（材料应清晰可辨，加盖公章） 3.社保缴纳证明:提供自2024年8月1日以来已缴存的任意1个月的社会保障资金缴存单据或社保机构开具的社会保险参保缴费情况证明;依法不需要缴纳社会保障资金的供应商应提供相关证明文件。（材料应清晰可辨，加盖公章） 4.具有履行合同所必需的设备和专业技术能力的书面承诺。（响应文件内附原件，格式内容自拟，加盖公章） 5.提供参加政府采购活动前三年内在经营活动中没有重大违法记录的书面声明。（响应文件内附原件，格式内容自拟，加盖公章） 6.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此项由采购代理机构在资格审查后现场查询，查询结果以电子图片或者纸质版存档，如相关失信记录已失效，供应商需提供相关证明资料，若没有则无需提供。）</w:t>
      </w:r>
    </w:p>
    <w:p>
      <w:pPr>
        <w:pStyle w:val="null3"/>
      </w:pPr>
      <w:r>
        <w:rPr>
          <w:rFonts w:ascii="仿宋_GB2312" w:hAnsi="仿宋_GB2312" w:cs="仿宋_GB2312" w:eastAsia="仿宋_GB2312"/>
        </w:rPr>
        <w:t>4、企业资质：供应商须具备建设行政主管部门颁发的电力工程施工总承包三级及以上资质和承装（修、试）电力设施许可证五级及以上，并具有有效的安全生产许可证;</w:t>
      </w:r>
    </w:p>
    <w:p>
      <w:pPr>
        <w:pStyle w:val="null3"/>
      </w:pPr>
      <w:r>
        <w:rPr>
          <w:rFonts w:ascii="仿宋_GB2312" w:hAnsi="仿宋_GB2312" w:cs="仿宋_GB2312" w:eastAsia="仿宋_GB2312"/>
        </w:rPr>
        <w:t>5、项目经理资质：拟派项目经理须具备机电工程专业二级及以上注册建造师证书及有效的安全生产考核合格证书，且无在建项目（出具项目经理的无在建承诺书）。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陕西省汉中市西乡县汉白路（文昌路口）</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史先生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0916-6221800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陕西汉正项目管理有限公司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 1706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夏丽敏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029-81113631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华老师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0916-8151150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采购包1：694,716.07元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配电变压器</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开户名称：陕西汉正项目管理有限公司</w:t>
            </w:r>
          </w:p>
          <w:p>
            <w:pPr>
              <w:pStyle w:val="null3"/>
            </w:pPr>
            <w:r>
              <w:rPr>
                <w:rFonts w:ascii="仿宋_GB2312" w:hAnsi="仿宋_GB2312" w:cs="仿宋_GB2312" w:eastAsia="仿宋_GB2312"/>
              </w:rPr>
              <w:t>开户银行：交通银行西安高新区科技支行</w:t>
            </w:r>
          </w:p>
          <w:p>
            <w:pPr>
              <w:pStyle w:val="null3"/>
            </w:pPr>
            <w:r>
              <w:rPr>
                <w:rFonts w:ascii="仿宋_GB2312" w:hAnsi="仿宋_GB2312" w:cs="仿宋_GB2312" w:eastAsia="仿宋_GB2312"/>
              </w:rPr>
              <w:t>银行账号：11301134013003303223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代理服务费收费标准：本项目代理服务费 按成交价的7‰ 收取 户名：陕西汉正项目管理有限公司 开户行：中国建设银行股份有限公司西安科技二路支行 账号：61050110771000000926</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西乡县交通运输局</w:t>
      </w:r>
      <w:r>
        <w:rPr>
          <w:rFonts w:ascii="仿宋_GB2312" w:hAnsi="仿宋_GB2312" w:cs="仿宋_GB2312" w:eastAsia="仿宋_GB2312"/>
        </w:rPr>
        <w:t>和</w:t>
      </w:r>
      <w:r>
        <w:rPr>
          <w:rFonts w:ascii="仿宋_GB2312" w:hAnsi="仿宋_GB2312" w:cs="仿宋_GB2312" w:eastAsia="仿宋_GB2312"/>
        </w:rPr>
        <w:t>陕西汉正项目管理有限公司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陕西汉正项目管理有限公司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陕西汉正项目管理有限公司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联系人：夏丽敏</w:t>
      </w:r>
    </w:p>
    <w:p>
      <w:pPr>
        <w:pStyle w:val="null3"/>
      </w:pPr>
      <w:r>
        <w:rPr>
          <w:rFonts w:ascii="仿宋_GB2312" w:hAnsi="仿宋_GB2312" w:cs="仿宋_GB2312" w:eastAsia="仿宋_GB2312"/>
        </w:rPr>
        <w:t>联系电话： 029-81113631</w:t>
      </w:r>
    </w:p>
    <w:p>
      <w:pPr>
        <w:pStyle w:val="null3"/>
      </w:pPr>
      <w:r>
        <w:rPr>
          <w:rFonts w:ascii="仿宋_GB2312" w:hAnsi="仿宋_GB2312" w:cs="仿宋_GB2312" w:eastAsia="仿宋_GB2312"/>
        </w:rPr>
        <w:t>地址：陕西省西安市高新区科技二路71号竹园天寰国际 1706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694,716.07</w:t>
      </w:r>
    </w:p>
    <w:p>
      <w:pPr>
        <w:pStyle w:val="null3"/>
      </w:pPr>
      <w:r>
        <w:rPr>
          <w:rFonts w:ascii="仿宋_GB2312" w:hAnsi="仿宋_GB2312" w:cs="仿宋_GB2312" w:eastAsia="仿宋_GB2312"/>
        </w:rPr>
        <w:t>采购包最高限价（元）: 694,716.07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西乡县工业大道东段连接线电力线路迁改工程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694,716.07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标的名称：西乡县工业大道东段连接线电力线路迁改工程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b/>
              </w:rPr>
              <w:t>一、</w:t>
            </w:r>
            <w:r>
              <w:rPr>
                <w:rFonts w:ascii="仿宋_GB2312" w:hAnsi="仿宋_GB2312" w:cs="仿宋_GB2312" w:eastAsia="仿宋_GB2312"/>
                <w:sz w:val="18"/>
                <w:b/>
              </w:rPr>
              <w:t>编制依据：</w:t>
            </w:r>
          </w:p>
          <w:p>
            <w:pPr>
              <w:pStyle w:val="null3"/>
            </w:pPr>
            <w:r>
              <w:rPr>
                <w:rFonts w:ascii="仿宋_GB2312" w:hAnsi="仿宋_GB2312" w:cs="仿宋_GB2312" w:eastAsia="仿宋_GB2312"/>
                <w:sz w:val="18"/>
              </w:rPr>
              <w:t>1. 《西乡县工业大道东段连接线电力线路迁改工程》施工图；</w:t>
            </w:r>
          </w:p>
          <w:p>
            <w:pPr>
              <w:pStyle w:val="null3"/>
            </w:pPr>
            <w:r>
              <w:rPr>
                <w:rFonts w:ascii="仿宋_GB2312" w:hAnsi="仿宋_GB2312" w:cs="仿宋_GB2312" w:eastAsia="仿宋_GB2312"/>
                <w:sz w:val="18"/>
              </w:rPr>
              <w:t>2.《陕西省建设工程工程量清单计价规则》（2025）；《陕西省通用安装工程基价表》（2025）；《陕西省房屋建筑与装饰工程基价表》（2025）；及其他相关的计价依据和办法；</w:t>
            </w:r>
          </w:p>
          <w:p>
            <w:pPr>
              <w:pStyle w:val="null3"/>
            </w:pPr>
            <w:r>
              <w:rPr>
                <w:rFonts w:ascii="仿宋_GB2312" w:hAnsi="仿宋_GB2312" w:cs="仿宋_GB2312" w:eastAsia="仿宋_GB2312"/>
                <w:sz w:val="18"/>
              </w:rPr>
              <w:t>3.相关的标准图集、文件及技术资料；</w:t>
            </w:r>
          </w:p>
          <w:p>
            <w:pPr>
              <w:pStyle w:val="null3"/>
            </w:pPr>
            <w:r>
              <w:rPr>
                <w:rFonts w:ascii="仿宋_GB2312" w:hAnsi="仿宋_GB2312" w:cs="仿宋_GB2312" w:eastAsia="仿宋_GB2312"/>
                <w:sz w:val="18"/>
              </w:rPr>
              <w:t>4.与本项目相适应的常规施工组织设计；</w:t>
            </w:r>
          </w:p>
          <w:p>
            <w:pPr>
              <w:pStyle w:val="null3"/>
            </w:pPr>
            <w:r>
              <w:rPr>
                <w:rFonts w:ascii="仿宋_GB2312" w:hAnsi="仿宋_GB2312" w:cs="仿宋_GB2312" w:eastAsia="仿宋_GB2312"/>
                <w:sz w:val="18"/>
              </w:rPr>
              <w:t>5. 材料价格按照《汉中建设工程造价信息》2025第5期执行，信息价没有的材料价格按市场价格计入。</w:t>
            </w:r>
          </w:p>
          <w:p>
            <w:pPr>
              <w:pStyle w:val="null3"/>
            </w:pPr>
            <w:r>
              <w:rPr>
                <w:rFonts w:ascii="仿宋_GB2312" w:hAnsi="仿宋_GB2312" w:cs="仿宋_GB2312" w:eastAsia="仿宋_GB2312"/>
                <w:sz w:val="18"/>
              </w:rPr>
              <w:t>6.编制软件采用运用广联达云计价平台GCCP7.0计价，版本号7.5000.23.1。</w:t>
            </w:r>
          </w:p>
          <w:p>
            <w:pPr>
              <w:pStyle w:val="null3"/>
            </w:pPr>
            <w:r>
              <w:rPr>
                <w:rFonts w:ascii="仿宋_GB2312" w:hAnsi="仿宋_GB2312" w:cs="仿宋_GB2312" w:eastAsia="仿宋_GB2312"/>
                <w:sz w:val="18"/>
              </w:rPr>
              <w:t>7</w:t>
            </w:r>
            <w:r>
              <w:rPr>
                <w:rFonts w:ascii="仿宋_GB2312" w:hAnsi="仿宋_GB2312" w:cs="仿宋_GB2312" w:eastAsia="仿宋_GB2312"/>
                <w:sz w:val="18"/>
              </w:rPr>
              <w:t>.混凝土采用商品混凝土；</w:t>
            </w:r>
          </w:p>
          <w:p>
            <w:pPr>
              <w:pStyle w:val="null3"/>
            </w:pPr>
            <w:r>
              <w:rPr>
                <w:rFonts w:ascii="仿宋_GB2312" w:hAnsi="仿宋_GB2312" w:cs="仿宋_GB2312" w:eastAsia="仿宋_GB2312"/>
                <w:sz w:val="18"/>
              </w:rPr>
              <w:t>8.垃圾外运暂定综合单价：10000元/项计入。</w:t>
            </w:r>
          </w:p>
          <w:p>
            <w:pPr>
              <w:pStyle w:val="null3"/>
            </w:pPr>
            <w:r>
              <w:rPr>
                <w:rFonts w:ascii="仿宋_GB2312" w:hAnsi="仿宋_GB2312" w:cs="仿宋_GB2312" w:eastAsia="仿宋_GB2312"/>
                <w:sz w:val="18"/>
                <w:b/>
              </w:rPr>
              <w:t>二、</w:t>
            </w:r>
            <w:r>
              <w:rPr>
                <w:rFonts w:ascii="仿宋_GB2312" w:hAnsi="仿宋_GB2312" w:cs="仿宋_GB2312" w:eastAsia="仿宋_GB2312"/>
                <w:sz w:val="18"/>
                <w:b/>
              </w:rPr>
              <w:t>标准、规范名称</w:t>
            </w:r>
            <w:r>
              <w:br/>
            </w:r>
            <w:r>
              <w:rPr>
                <w:rFonts w:ascii="仿宋_GB2312" w:hAnsi="仿宋_GB2312" w:cs="仿宋_GB2312" w:eastAsia="仿宋_GB2312"/>
                <w:sz w:val="18"/>
              </w:rPr>
              <w:t xml:space="preserve"> 1.《电气装置安装工程电缆线路施工及验收标准》GB 50168-2018</w:t>
            </w:r>
          </w:p>
          <w:p>
            <w:pPr>
              <w:pStyle w:val="null3"/>
            </w:pPr>
            <w:r>
              <w:rPr>
                <w:rFonts w:ascii="仿宋_GB2312" w:hAnsi="仿宋_GB2312" w:cs="仿宋_GB2312" w:eastAsia="仿宋_GB2312"/>
                <w:sz w:val="18"/>
              </w:rPr>
              <w:t>2.《气装置安装工程接地装置施工及验收规范》GB50169-2016</w:t>
            </w:r>
          </w:p>
          <w:p>
            <w:pPr>
              <w:pStyle w:val="null3"/>
            </w:pPr>
            <w:r>
              <w:rPr>
                <w:rFonts w:ascii="仿宋_GB2312" w:hAnsi="仿宋_GB2312" w:cs="仿宋_GB2312" w:eastAsia="仿宋_GB2312"/>
                <w:sz w:val="18"/>
              </w:rPr>
              <w:t>3.《电气装置安装工程 高压电器施工及验收规范》GB 50147-2010</w:t>
            </w:r>
          </w:p>
          <w:p>
            <w:pPr>
              <w:pStyle w:val="null3"/>
            </w:pPr>
            <w:r>
              <w:rPr>
                <w:rFonts w:ascii="仿宋_GB2312" w:hAnsi="仿宋_GB2312" w:cs="仿宋_GB2312" w:eastAsia="仿宋_GB2312"/>
                <w:sz w:val="18"/>
              </w:rPr>
              <w:t>4.《电气装置安装工程 电缆线路施工及验收标准》GB 50168-2018</w:t>
            </w:r>
          </w:p>
          <w:p>
            <w:pPr>
              <w:pStyle w:val="null3"/>
            </w:pPr>
            <w:r>
              <w:rPr>
                <w:rFonts w:ascii="仿宋_GB2312" w:hAnsi="仿宋_GB2312" w:cs="仿宋_GB2312" w:eastAsia="仿宋_GB2312"/>
                <w:sz w:val="18"/>
              </w:rPr>
              <w:t>5.《建筑电气工程施工质量验收规范》（GB50303-2015）</w:t>
            </w:r>
          </w:p>
          <w:p>
            <w:pPr>
              <w:pStyle w:val="null3"/>
            </w:pPr>
            <w:r>
              <w:rPr>
                <w:rFonts w:ascii="仿宋_GB2312" w:hAnsi="仿宋_GB2312" w:cs="仿宋_GB2312" w:eastAsia="仿宋_GB2312"/>
                <w:sz w:val="18"/>
              </w:rPr>
              <w:t>6.《建筑工程施工质量验收统一标准》（GB50300-2013）</w:t>
            </w:r>
          </w:p>
          <w:p>
            <w:pPr>
              <w:pStyle w:val="null3"/>
            </w:pPr>
            <w:r>
              <w:rPr>
                <w:rFonts w:ascii="仿宋_GB2312" w:hAnsi="仿宋_GB2312" w:cs="仿宋_GB2312" w:eastAsia="仿宋_GB2312"/>
                <w:sz w:val="18"/>
              </w:rPr>
              <w:t>7.设计图纸</w:t>
            </w:r>
          </w:p>
          <w:p>
            <w:pPr>
              <w:pStyle w:val="null3"/>
            </w:pPr>
            <w:r>
              <w:rPr>
                <w:rFonts w:ascii="仿宋_GB2312" w:hAnsi="仿宋_GB2312" w:cs="仿宋_GB2312" w:eastAsia="仿宋_GB2312"/>
                <w:sz w:val="18"/>
              </w:rPr>
              <w:t>上规范及条文若有新版，以新版为标准。</w:t>
            </w:r>
          </w:p>
          <w:p>
            <w:pPr>
              <w:pStyle w:val="null3"/>
            </w:pPr>
            <w:r>
              <w:rPr>
                <w:rFonts w:ascii="仿宋_GB2312" w:hAnsi="仿宋_GB2312" w:cs="仿宋_GB2312" w:eastAsia="仿宋_GB2312"/>
                <w:sz w:val="18"/>
                <w:b/>
              </w:rPr>
              <w:t>三、商务要求</w:t>
            </w:r>
          </w:p>
          <w:p>
            <w:pPr>
              <w:pStyle w:val="null3"/>
            </w:pPr>
            <w:r>
              <w:rPr>
                <w:rFonts w:ascii="仿宋_GB2312" w:hAnsi="仿宋_GB2312" w:cs="仿宋_GB2312" w:eastAsia="仿宋_GB2312"/>
                <w:sz w:val="18"/>
              </w:rPr>
              <w:t>1.工期：60日历天</w:t>
            </w:r>
          </w:p>
          <w:p>
            <w:pPr>
              <w:pStyle w:val="null3"/>
            </w:pPr>
            <w:r>
              <w:rPr>
                <w:rFonts w:ascii="仿宋_GB2312" w:hAnsi="仿宋_GB2312" w:cs="仿宋_GB2312" w:eastAsia="仿宋_GB2312"/>
                <w:sz w:val="18"/>
              </w:rPr>
              <w:t>2.质量要求：符合国家现行有关施工质量验收规范“合格”要求</w:t>
            </w:r>
          </w:p>
          <w:p>
            <w:pPr>
              <w:pStyle w:val="null3"/>
            </w:pPr>
            <w:r>
              <w:rPr>
                <w:rFonts w:ascii="仿宋_GB2312" w:hAnsi="仿宋_GB2312" w:cs="仿宋_GB2312" w:eastAsia="仿宋_GB2312"/>
                <w:sz w:val="18"/>
              </w:rPr>
              <w:t>3.缺陷责任期： 1 年，质量保修期：2年。</w:t>
            </w:r>
          </w:p>
          <w:p>
            <w:pPr>
              <w:pStyle w:val="null3"/>
            </w:pPr>
            <w:r>
              <w:rPr>
                <w:rFonts w:ascii="仿宋_GB2312" w:hAnsi="仿宋_GB2312" w:cs="仿宋_GB2312" w:eastAsia="仿宋_GB2312"/>
                <w:sz w:val="18"/>
              </w:rPr>
              <w:t>4、漏项处理：施工过程中发现工程量清单中存在漏项工程的，该漏项工程作为本项目采购的组成部分，采购人和供应商可以按照双方合同的规定协商解决。 5、施工要求 5.1、遵守国家相关法律、法规，遵守国家相关技术规范。 5.2、所选材料必须保证质量可靠、进货渠道正常，符合国家环保等相关标准，满足施工要求。 5.3、工程质量符合国家有关规范，确保达到合格。 5.4、遵守有关施工规范和安全操作规程，采取有效的安全保障措施，确保施工安全，包括悬挂警示标牌、装设围栏、配备安全人员等，并承担事故的全部费用和责任。 5.5、施工单位必须服从当地对治安、卫生、环保、社会保险等工程建设的统一管理，并按有关规定交纳费用以及因违反相关规定而造成的罚款。 5.6、本工程不允许转包。 5.7、供应商自行办理垃圾清理手续，遵守当地政府垃圾分类处理有关规定，承担自行处置不当导致的全部费用和责任。 6、质量验收标准或规范 6.1、国家现行有关法律、法规、环保和技术指标。 6.2、本项目施工合同。 6.3、经批准的设计文件及工程变更文件。 6.4、有关部政府部门的规定。 7、项目检验与验收 7.1、成交供应商向采购人提交项目实施过程中的所有资料。 7.2、验收须以合同、磋商文件及响应文件、澄清、及国家相应的标准、规范等为依据。 8、合同的变更、中止、终止 合同一经签订，不得擅自变更、中止或者终止合同。对确需变更、调整或者中止、终止合同的，由双方协商解决。 9、合同争议的处理 合同在履行过程中发生的争议，当事人双方应协商解决，协商达不成一致时，可向采购方所在地仲裁委员会申请仲裁或者向人民法院提请诉讼。 10、违约责任 10.1、按《中华人民共和国政府采购法》《中华人民共和国民法典》中的相关条款执行。 10.2、未按要求提供货物、质量、环保标准不能满足技术要求的，施工方必须无条件更换，否则，采购单位有权终止合同，并对施工方的违约行为报监管机构进行相应的处罚。</w:t>
            </w:r>
          </w:p>
          <w:p>
            <w:pPr>
              <w:pStyle w:val="null3"/>
              <w:jc w:val="both"/>
            </w:pPr>
            <w:r>
              <w:rPr>
                <w:rFonts w:ascii="仿宋_GB2312" w:hAnsi="仿宋_GB2312" w:cs="仿宋_GB2312" w:eastAsia="仿宋_GB2312"/>
                <w:sz w:val="18"/>
                <w:b/>
              </w:rPr>
              <w:t>四、工程量清单见附件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特别注意:为顺利推进政府采购电子化交易平台应用工作，供应商均在线提交所有通过电子化交易平台实施的政府采购项目的磋商响应文件。 2.成交供应商在采购结果发布后3个工作日内向代理机构提交纸质版响应文件以便于存档，响应文件正本1份，副本1份（可以使用签章文件直接打印），电子版文件1份（以U盘为载体，PDF格式）。线下递交响应文件地点：汉中市南郑区南郑大道南300米（南郑工业园区管委会二楼）。 3.如磋商文件中中小企业融资相关内容与新政策要求有出入，按照最新要求执行。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供应商应授权合法的人员参加本项目磋商活动全过程</w:t>
            </w:r>
          </w:p>
        </w:tc>
        <w:tc>
          <w:tcPr>
            <w:tcW w:type="dxa" w:w="3322"/>
          </w:tcPr>
          <w:p>
            <w:pPr>
              <w:pStyle w:val="null3"/>
            </w:pPr>
            <w:r>
              <w:rPr>
                <w:rFonts w:ascii="仿宋_GB2312" w:hAnsi="仿宋_GB2312" w:cs="仿宋_GB2312" w:eastAsia="仿宋_GB2312"/>
              </w:rPr>
              <w:t>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供应商为具有独立承担民事责任能力的企业法人、负责人或其他组织或自然人，并出具有效的营业执照（事业法人证）或证明文件或自然人的身份证明；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w:t>
            </w:r>
          </w:p>
        </w:tc>
        <w:tc>
          <w:tcPr>
            <w:tcW w:type="dxa" w:w="3322"/>
          </w:tcPr>
          <w:p>
            <w:pPr>
              <w:pStyle w:val="null3"/>
            </w:pPr>
            <w:r>
              <w:rPr>
                <w:rFonts w:ascii="仿宋_GB2312" w:hAnsi="仿宋_GB2312" w:cs="仿宋_GB2312" w:eastAsia="仿宋_GB2312"/>
              </w:rPr>
              <w:t>供应商须提供《汉中市政府采购供应商资格承诺函》； 注：供应商未提供《汉中市政府采购供应商资格承诺函》的，应当按照《中华人民共和国政府采购法》及其实施条例等相关法律法规要求提供相应的证明材料。相应证明材料如下： 1.财务状况报告:提供2024年度经审计的完整有效财务报告，或其响应文件递交截止时间前三个月内基本开户银行出具的资信证明，或财政部门认可的政府采购专业担保机构出具的担保函(以上三种任意一项即可)。（材料应清晰可辨，加盖公章） 2.税收缴纳证明:提供自2024年8月1日以来已缴纳的任意1个月的依法缴纳税收的相关凭据(时间以税款所属日期为准)，凭据应有税务机关或代收机关的公章或业务专用章; 依法免税或无须缴纳税收的供应商，应提供相应证明文件。（材料应清晰可辨，加盖公章） 3.社保缴纳证明:提供自2024年8月1日以来已缴存的任意1个月的社会保障资金缴存单据或社保机构开具的社会保险参保缴费情况证明;依法不需要缴纳社会保障资金的供应商应提供相关证明文件。（材料应清晰可辨，加盖公章） 4.具有履行合同所必需的设备和专业技术能力的书面承诺。（响应文件内附原件，格式内容自拟，加盖公章） 5.提供参加政府采购活动前三年内在经营活动中没有重大违法记录的书面声明。（响应文件内附原件，格式内容自拟，加盖公章） 6.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此项由采购代理机构在资格审查后现场查询，查询结果以电子图片或者纸质版存档，如相关失信记录已失效，供应商需提供相关证明资料，若没有则无需提供。）</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供应商须具备建设行政主管部门颁发的电力工程施工总承包三级及以上资质和承装（修、试）电力设施许可证五级及以上，并具有有效的安全生产许可证;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拟派项目经理须具备机电工程专业二级及以上注册建造师证书及有效的安全生产考核合格证书，且无在建项目（出具项目经理的无在建承诺书）。</w:t>
            </w:r>
          </w:p>
        </w:tc>
        <w:tc>
          <w:tcPr>
            <w:tcW w:type="dxa" w:w="1661"/>
          </w:tcPr>
          <w:p>
            <w:pPr>
              <w:pStyle w:val="null3"/>
            </w:pPr>
            <w:r>
              <w:rPr>
                <w:rFonts w:ascii="仿宋_GB2312" w:hAnsi="仿宋_GB2312" w:cs="仿宋_GB2312" w:eastAsia="仿宋_GB2312"/>
              </w:rPr>
              <w:t>供应商应提交的相关资格证明材料.docx 项目经理简历表.docx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供应商应当使用纳入陕西省政府采购综合管理平台数字 证书互认范围的数字证书及签章进行系统操作。（供应商对其系统操作行为和电子签章确认的事项承担法律责任）</w:t>
            </w:r>
          </w:p>
        </w:tc>
        <w:tc>
          <w:tcPr>
            <w:tcW w:type="dxa" w:w="1661"/>
          </w:tcPr>
          <w:p>
            <w:pPr>
              <w:pStyle w:val="null3"/>
            </w:pPr>
            <w:r>
              <w:rPr>
                <w:rFonts w:ascii="仿宋_GB2312" w:hAnsi="仿宋_GB2312" w:cs="仿宋_GB2312" w:eastAsia="仿宋_GB2312"/>
              </w:rPr>
              <w:t>响应文件封面 企业业绩一览表.docx 项目技术、服务、商务及其他要求应答表.docx 供应商应提交的相关资格证明材料.docx 中小企业声明函 残疾人福利性单位声明函 报价函 标的清单 供应商拒绝政府采购领域商业贿赂承诺书.docx 响应函 监狱企业的证明文件 强制优先采购产品承诺函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 超过采购预算金额或最高限价</w:t>
            </w:r>
          </w:p>
        </w:tc>
        <w:tc>
          <w:tcPr>
            <w:tcW w:type="dxa" w:w="1661"/>
          </w:tcPr>
          <w:p>
            <w:pPr>
              <w:pStyle w:val="null3"/>
            </w:pPr>
            <w:r>
              <w:rPr>
                <w:rFonts w:ascii="仿宋_GB2312" w:hAnsi="仿宋_GB2312" w:cs="仿宋_GB2312" w:eastAsia="仿宋_GB2312"/>
              </w:rPr>
              <w:t>报价函 标的清单 已标价工程量清单响应表.docx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工期、质量要求、缺陷责任期、质量保修期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项目技术、服务、商务及其他要求应答表.docx 报价函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文明施工措施及环境保障措施</w:t>
            </w:r>
          </w:p>
        </w:tc>
        <w:tc>
          <w:tcPr>
            <w:tcW w:type="dxa" w:w="2492"/>
          </w:tcPr>
          <w:p>
            <w:pPr>
              <w:pStyle w:val="null3"/>
            </w:pPr>
            <w:r>
              <w:rPr>
                <w:rFonts w:ascii="仿宋_GB2312" w:hAnsi="仿宋_GB2312" w:cs="仿宋_GB2312" w:eastAsia="仿宋_GB2312"/>
              </w:rPr>
              <w:t>针对本项目提供的文明施工措施及环境保障措施进行综合评审。 1、措施合理，完全满足项目实施得7.1-10分； 2、措施较合理，较满足项目实施得3.1-7分； 3、措施基本合理，基本满足项目实施得1-3分； 4、未提供此项内容不得分。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施工方案技术措施</w:t>
            </w:r>
          </w:p>
        </w:tc>
        <w:tc>
          <w:tcPr>
            <w:tcW w:type="dxa" w:w="2492"/>
          </w:tcPr>
          <w:p>
            <w:pPr>
              <w:pStyle w:val="null3"/>
            </w:pPr>
            <w:r>
              <w:rPr>
                <w:rFonts w:ascii="仿宋_GB2312" w:hAnsi="仿宋_GB2312" w:cs="仿宋_GB2312" w:eastAsia="仿宋_GB2312"/>
              </w:rPr>
              <w:t>针对本项目提供的施工方案技术措施进行综合评审。 1、实施方案详细、可行，完全满足项目实施的得7.1-10分； 2、实施方案较详细、较可行，较满足项目实施的得3.1-7分； 3、实施方案基本详细、基本可行，基本满足项目实施的得1-3分； 4、未提供此项内容不得分。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施工安全保证措施</w:t>
            </w:r>
          </w:p>
        </w:tc>
        <w:tc>
          <w:tcPr>
            <w:tcW w:type="dxa" w:w="2492"/>
          </w:tcPr>
          <w:p>
            <w:pPr>
              <w:pStyle w:val="null3"/>
            </w:pPr>
            <w:r>
              <w:rPr>
                <w:rFonts w:ascii="仿宋_GB2312" w:hAnsi="仿宋_GB2312" w:cs="仿宋_GB2312" w:eastAsia="仿宋_GB2312"/>
              </w:rPr>
              <w:t>针对本项目提供的施工安全保证措施进行综合评审。 1、安全管理目标明确，安全保证措施合理、可行得7.1-10分； 2、安全管理目标较明确，安全保证措施较合理、较可行得3.1-7分； 3、安全管理目标基本明确，安全保证措施基本合理、基本可行得1-3分； 4、未提供此项内容不得分。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工期的技术组织措施</w:t>
            </w:r>
          </w:p>
        </w:tc>
        <w:tc>
          <w:tcPr>
            <w:tcW w:type="dxa" w:w="2492"/>
          </w:tcPr>
          <w:p>
            <w:pPr>
              <w:pStyle w:val="null3"/>
            </w:pPr>
            <w:r>
              <w:rPr>
                <w:rFonts w:ascii="仿宋_GB2312" w:hAnsi="仿宋_GB2312" w:cs="仿宋_GB2312" w:eastAsia="仿宋_GB2312"/>
              </w:rPr>
              <w:t>针对本项目工期的技术组织措施进行综合评审。 1、技术组织措施详细，工期进度保证措施合理得4.1-5分； 2、技术组织措施较详细，工期进度保证措施较合理得2.1-4分； 3、技术组织措施基本详细，工期进度保证措施基本合理得1-2分； 4、未提供此项内容不得分。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施工机械设备配备</w:t>
            </w:r>
          </w:p>
        </w:tc>
        <w:tc>
          <w:tcPr>
            <w:tcW w:type="dxa" w:w="2492"/>
          </w:tcPr>
          <w:p>
            <w:pPr>
              <w:pStyle w:val="null3"/>
            </w:pPr>
            <w:r>
              <w:rPr>
                <w:rFonts w:ascii="仿宋_GB2312" w:hAnsi="仿宋_GB2312" w:cs="仿宋_GB2312" w:eastAsia="仿宋_GB2312"/>
              </w:rPr>
              <w:t>针对拟投入本项目的主要施工机械设备配置情况进行综合评审。 1、施工设备配备齐全，合理得4.1-5分； 2、施工设备配备较齐全，较合理得2.1-4分； 3、施工设备配备基本齐全，基本合理得1-2分； 4、未提供此项内容不得分。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质量目标及措施</w:t>
            </w:r>
          </w:p>
        </w:tc>
        <w:tc>
          <w:tcPr>
            <w:tcW w:type="dxa" w:w="2492"/>
          </w:tcPr>
          <w:p>
            <w:pPr>
              <w:pStyle w:val="null3"/>
            </w:pPr>
            <w:r>
              <w:rPr>
                <w:rFonts w:ascii="仿宋_GB2312" w:hAnsi="仿宋_GB2312" w:cs="仿宋_GB2312" w:eastAsia="仿宋_GB2312"/>
              </w:rPr>
              <w:t>针对本项目质量目标及措施进行综合评审。 1、质量目标明确，措施合理得4.1-5分； 2、质量目标较明确，措施较合理得2.1-4分； 3、质量目标基本明确，措施基本合理得1-2分； 4、未提供此项内容不得分。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项目理技术职称</w:t>
            </w:r>
          </w:p>
        </w:tc>
        <w:tc>
          <w:tcPr>
            <w:tcW w:type="dxa" w:w="2492"/>
          </w:tcPr>
          <w:p>
            <w:pPr>
              <w:pStyle w:val="null3"/>
            </w:pPr>
            <w:r>
              <w:rPr>
                <w:rFonts w:ascii="仿宋_GB2312" w:hAnsi="仿宋_GB2312" w:cs="仿宋_GB2312" w:eastAsia="仿宋_GB2312"/>
              </w:rPr>
              <w:t>项目经理具备电力相关专业技术职称，高级职称得5分，中级职称得3分，其他不得分。 注：响应文件内附技术职称复印件并加盖公章。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项目经理简历表.docx</w:t>
            </w:r>
          </w:p>
        </w:tc>
      </w:tr>
      <w:tr>
        <w:tc>
          <w:tcPr>
            <w:tcW w:type="dxa" w:w="831"/>
            <w:vMerge/>
          </w:tcPr>
          <w:p/>
        </w:tc>
        <w:tc>
          <w:tcPr>
            <w:tcW w:type="dxa" w:w="1661"/>
          </w:tcPr>
          <w:p>
            <w:pPr>
              <w:pStyle w:val="null3"/>
            </w:pPr>
            <w:r>
              <w:rPr>
                <w:rFonts w:ascii="仿宋_GB2312" w:hAnsi="仿宋_GB2312" w:cs="仿宋_GB2312" w:eastAsia="仿宋_GB2312"/>
              </w:rPr>
              <w:t>项目经理业绩</w:t>
            </w:r>
          </w:p>
        </w:tc>
        <w:tc>
          <w:tcPr>
            <w:tcW w:type="dxa" w:w="2492"/>
          </w:tcPr>
          <w:p>
            <w:pPr>
              <w:pStyle w:val="null3"/>
            </w:pPr>
            <w:r>
              <w:rPr>
                <w:rFonts w:ascii="仿宋_GB2312" w:hAnsi="仿宋_GB2312" w:cs="仿宋_GB2312" w:eastAsia="仿宋_GB2312"/>
              </w:rPr>
              <w:t>项目经理提供2022年8月至今完成的类似项目业绩，每提供一个合格业绩得2.5分，满分5分。未提供此项内容不得分。 注：业绩以合同（协议书)为准，体现项目经理姓名的证明材料，响应文件内附复印件并加盖公章。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项目经理简历表.docx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所配备人员（项目技术负责人、施工员、质检员、安全员、资料员），具备电力相关专业技术职称或岗位证书证件。全部满足得5分，每缺少一人或相应人员无证书证件扣1分，扣完为止。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项目组织机构配置表.docx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供应商提供2022年8月至今完成的类似项目业绩，每提供一个合格业绩得2.5分，满分5分。未提供此项内容不得分。 注：业绩以合同（协议书)为准，响应文件内附复印件并加盖公章。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企业业绩一览表.docx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为保证按时按质按量完成本项目，供应商提供施工安全承诺、文明施工承诺、施工质量保证承诺、工期保证承诺。每提供一项承诺得1分，满分4分。未提供此项内容不得分。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施工承诺.docx</w:t>
            </w:r>
          </w:p>
        </w:tc>
      </w:tr>
      <w:tr>
        <w:tc>
          <w:tcPr>
            <w:tcW w:type="dxa" w:w="831"/>
            <w:vMerge/>
          </w:tcPr>
          <w:p/>
        </w:tc>
        <w:tc>
          <w:tcPr>
            <w:tcW w:type="dxa" w:w="1661"/>
          </w:tcPr>
          <w:p>
            <w:pPr>
              <w:pStyle w:val="null3"/>
            </w:pPr>
            <w:r>
              <w:rPr>
                <w:rFonts w:ascii="仿宋_GB2312" w:hAnsi="仿宋_GB2312" w:cs="仿宋_GB2312" w:eastAsia="仿宋_GB2312"/>
              </w:rPr>
              <w:t>节能产品</w:t>
            </w:r>
          </w:p>
        </w:tc>
        <w:tc>
          <w:tcPr>
            <w:tcW w:type="dxa" w:w="2492"/>
          </w:tcPr>
          <w:p>
            <w:pPr>
              <w:pStyle w:val="null3"/>
            </w:pPr>
            <w:r>
              <w:rPr>
                <w:rFonts w:ascii="仿宋_GB2312" w:hAnsi="仿宋_GB2312" w:cs="仿宋_GB2312" w:eastAsia="仿宋_GB2312"/>
              </w:rPr>
              <w:t>主要材料与设备为节能产品的，每种产品得1分，最高得1分，没有不得分。 注：提供节能产品认证证书复印件并加盖公章。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节能产品明细表.docx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1、上限为采购预算价，即报价大于上限价视为无效报价； 2、以满足本次磋商文件要求的最低报价为评审基准价，其价格为满分； 3、磋商供应商报价得分=（评审基准价/报价）×30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已标价工程量清单响应表.docx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详见附件：项目技术、服务、商务及其他要求应答表.docx</w:t>
      </w:r>
    </w:p>
    <w:p>
      <w:pPr>
        <w:pStyle w:val="null3"/>
        <w:ind w:firstLine="960"/>
      </w:pPr>
      <w:r>
        <w:rPr>
          <w:rFonts w:ascii="仿宋_GB2312" w:hAnsi="仿宋_GB2312" w:cs="仿宋_GB2312" w:eastAsia="仿宋_GB2312"/>
        </w:rPr>
        <w:t>详见附件：已标价工程量清单响应表.docx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详见附件：企业业绩一览表.docx</w:t>
      </w:r>
    </w:p>
    <w:p>
      <w:pPr>
        <w:pStyle w:val="null3"/>
        <w:ind w:firstLine="960"/>
      </w:pPr>
      <w:r>
        <w:rPr>
          <w:rFonts w:ascii="仿宋_GB2312" w:hAnsi="仿宋_GB2312" w:cs="仿宋_GB2312" w:eastAsia="仿宋_GB2312"/>
        </w:rPr>
        <w:t>详见附件：施工承诺.docx</w:t>
      </w:r>
    </w:p>
    <w:p>
      <w:pPr>
        <w:pStyle w:val="null3"/>
        <w:ind w:firstLine="960"/>
      </w:pPr>
      <w:r>
        <w:rPr>
          <w:rFonts w:ascii="仿宋_GB2312" w:hAnsi="仿宋_GB2312" w:cs="仿宋_GB2312" w:eastAsia="仿宋_GB2312"/>
        </w:rPr>
        <w:t>详见附件：项目经理简历表.docx</w:t>
      </w:r>
    </w:p>
    <w:p>
      <w:pPr>
        <w:pStyle w:val="null3"/>
        <w:ind w:firstLine="960"/>
      </w:pPr>
      <w:r>
        <w:rPr>
          <w:rFonts w:ascii="仿宋_GB2312" w:hAnsi="仿宋_GB2312" w:cs="仿宋_GB2312" w:eastAsia="仿宋_GB2312"/>
        </w:rPr>
        <w:t>详见附件：项目组织机构配置表.docx</w:t>
      </w:r>
    </w:p>
    <w:p>
      <w:pPr>
        <w:pStyle w:val="null3"/>
        <w:ind w:firstLine="960"/>
      </w:pPr>
      <w:r>
        <w:rPr>
          <w:rFonts w:ascii="仿宋_GB2312" w:hAnsi="仿宋_GB2312" w:cs="仿宋_GB2312" w:eastAsia="仿宋_GB2312"/>
        </w:rPr>
        <w:t>详见附件：总实施方案.docx</w:t>
      </w:r>
    </w:p>
    <w:p>
      <w:pPr>
        <w:pStyle w:val="null3"/>
        <w:ind w:firstLine="960"/>
      </w:pPr>
      <w:r>
        <w:rPr>
          <w:rFonts w:ascii="仿宋_GB2312" w:hAnsi="仿宋_GB2312" w:cs="仿宋_GB2312" w:eastAsia="仿宋_GB2312"/>
        </w:rPr>
        <w:t>详见附件：节能产品明细表.docx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详见附件：拟签订的和合同文本.docx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