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版本号：TZZB-HZ-2025279C20250928002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2025年度西乡县杨河镇高土坝蒙家沟堰塘治理工程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TZZB-HZ-2025279C</w:t>
      </w:r>
      <w:r>
        <w:br/>
      </w:r>
      <w:r>
        <w:br/>
      </w:r>
      <w:r>
        <w:br/>
      </w:r>
    </w:p>
    <w:p>
      <w:pPr>
        <w:pStyle w:val="null3"/>
        <w:jc w:val="center"/>
        <w:outlineLvl w:val="2"/>
      </w:pPr>
      <w:r>
        <w:rPr>
          <w:rFonts w:ascii="仿宋_GB2312" w:hAnsi="仿宋_GB2312" w:cs="仿宋_GB2312" w:eastAsia="仿宋_GB2312"/>
          <w:sz w:val="28"/>
          <w:b/>
        </w:rPr>
        <w:t>西乡县农业农村局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西乡县农业农村局</w:t>
      </w:r>
      <w:r>
        <w:rPr>
          <w:rFonts w:ascii="仿宋_GB2312" w:hAnsi="仿宋_GB2312" w:cs="仿宋_GB2312" w:eastAsia="仿宋_GB2312"/>
        </w:rPr>
        <w:t>委托，拟对</w:t>
      </w:r>
      <w:r>
        <w:rPr>
          <w:rFonts w:ascii="仿宋_GB2312" w:hAnsi="仿宋_GB2312" w:cs="仿宋_GB2312" w:eastAsia="仿宋_GB2312"/>
        </w:rPr>
        <w:t>2025年度西乡县杨河镇高土坝蒙家沟堰塘治理工程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TZZB-HZ-2025279C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2025年度西乡县杨河镇高土坝蒙家沟堰塘治理工程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2025年度西乡县杨河镇高土坝蒙家沟堰塘治理工程位于杨河镇高土坝社区，建设主要内容：(1)新建抗滑桩板挡墙长60米、C30 混凝土圆形抗滑桩共 16根(单桩长8.5米，桩径0.8米);(2)修复硬化通村道路长30米(宽4米)，埋设中600 排水涵管一座:(3)新建 C20 混凝土截水沟长 57 米:(4)堰塘上游挡墙恢复长 86 米，安装安全防护网 346 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采购包1（2025年度西乡县杨河镇高土坝蒙家沟堰塘治理工程）：属于专门面向中小企业采购。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2、汉中市政府采购供应商资格承诺函：供应商须提供《汉中市政府采购供应商资格承诺函》。</w:t>
      </w:r>
    </w:p>
    <w:p>
      <w:pPr>
        <w:pStyle w:val="null3"/>
      </w:pPr>
      <w:r>
        <w:rPr>
          <w:rFonts w:ascii="仿宋_GB2312" w:hAnsi="仿宋_GB2312" w:cs="仿宋_GB2312" w:eastAsia="仿宋_GB2312"/>
        </w:rPr>
        <w:t>3、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4、企业资质要求：供应商须具有水利水电工程施工总承包三级及以上资质，并具有有效的安全生产许可证。</w:t>
      </w:r>
    </w:p>
    <w:p>
      <w:pPr>
        <w:pStyle w:val="null3"/>
      </w:pPr>
      <w:r>
        <w:rPr>
          <w:rFonts w:ascii="仿宋_GB2312" w:hAnsi="仿宋_GB2312" w:cs="仿宋_GB2312" w:eastAsia="仿宋_GB2312"/>
        </w:rPr>
        <w:t>5、项目经理资质要求：拟派本项目的项目经理须具备水利水电工程专业二级及以上注册建造师，并持有效的安全生产考核合格证书，且无在建工程(出具无在建承诺书）。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采购包1：431,180.69元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说明：领取成交通知书后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西乡县农业农村局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431,180.69</w:t>
      </w:r>
    </w:p>
    <w:p>
      <w:pPr>
        <w:pStyle w:val="null3"/>
      </w:pPr>
      <w:r>
        <w:rPr>
          <w:rFonts w:ascii="仿宋_GB2312" w:hAnsi="仿宋_GB2312" w:cs="仿宋_GB2312" w:eastAsia="仿宋_GB2312"/>
        </w:rPr>
        <w:t>采购包最高限价（元）: 431,180.69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堰塘治理工程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431,180.69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标的名称：堰塘治理工程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工程概况：</w:t>
            </w:r>
          </w:p>
          <w:p>
            <w:pPr>
              <w:pStyle w:val="null3"/>
              <w:jc w:val="both"/>
            </w:pPr>
            <w:r>
              <w:rPr>
                <w:rFonts w:ascii="仿宋_GB2312" w:hAnsi="仿宋_GB2312" w:cs="仿宋_GB2312" w:eastAsia="仿宋_GB2312"/>
                <w:sz w:val="21"/>
              </w:rPr>
              <w:t>2025年度西乡县杨河镇高土坝蒙家沟堰塘治理工程位于杨河镇高土坝社区，建设主要内容：(1)新建抗滑桩板挡墙长60米、C30 混凝土圆形抗滑桩共 16根(单桩长8.5米，桩径0.8米);(2)修复硬化通村道路长30米(宽4米)，埋设中600 排水涵管一座:(3)新建 C20 混凝土截水沟长 57 米:(4)堰塘上游挡墙恢复长 86 米，安装安全防护网 346 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编制依据：</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2025年度西乡县杨河镇高土坝蒙家沟堰塘治理工程初步设计及设计图纸；</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《陕西省水利水电工程概预算编制办法及费用标准》（</w:t>
            </w:r>
            <w:r>
              <w:rPr>
                <w:rFonts w:ascii="仿宋_GB2312" w:hAnsi="仿宋_GB2312" w:cs="仿宋_GB2312" w:eastAsia="仿宋_GB2312"/>
              </w:rPr>
              <w:t>2017年）；</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《陕西省水利水电建筑工程预算定额》（</w:t>
            </w:r>
            <w:r>
              <w:rPr>
                <w:rFonts w:ascii="仿宋_GB2312" w:hAnsi="仿宋_GB2312" w:cs="仿宋_GB2312" w:eastAsia="仿宋_GB2312"/>
              </w:rPr>
              <w:t>2017年）及《关于陕西省水利水电工程概预算编制办法及费用标准（2017版）调整意见的批复》（陕发改项目[2009]821号文）；</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陕水规计发</w:t>
            </w:r>
            <w:r>
              <w:rPr>
                <w:rFonts w:ascii="仿宋_GB2312" w:hAnsi="仿宋_GB2312" w:cs="仿宋_GB2312" w:eastAsia="仿宋_GB2312"/>
                <w:sz w:val="21"/>
              </w:rPr>
              <w:t>[2016]353号文，《陕西省水利水电工程营业税改增值税计价依据调整办法》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rPr>
              <w:t>商务要求（本项为实质性响应要求，不得负偏离）</w:t>
            </w:r>
          </w:p>
          <w:p>
            <w:pPr>
              <w:pStyle w:val="null3"/>
            </w:pPr>
            <w:r>
              <w:rPr>
                <w:rFonts w:ascii="仿宋_GB2312" w:hAnsi="仿宋_GB2312" w:cs="仿宋_GB2312" w:eastAsia="仿宋_GB2312"/>
              </w:rPr>
              <w:t>1. 工期：60日历天。</w:t>
            </w:r>
          </w:p>
          <w:p>
            <w:pPr>
              <w:pStyle w:val="null3"/>
            </w:pPr>
            <w:r>
              <w:rPr>
                <w:rFonts w:ascii="仿宋_GB2312" w:hAnsi="仿宋_GB2312" w:cs="仿宋_GB2312" w:eastAsia="仿宋_GB2312"/>
              </w:rPr>
              <w:t>2. 质量要求：符合国家现行有关施工质量验收规范“合格”要求 。</w:t>
            </w:r>
          </w:p>
          <w:p>
            <w:pPr>
              <w:pStyle w:val="null3"/>
            </w:pPr>
            <w:r>
              <w:rPr>
                <w:rFonts w:ascii="仿宋_GB2312" w:hAnsi="仿宋_GB2312" w:cs="仿宋_GB2312" w:eastAsia="仿宋_GB2312"/>
              </w:rPr>
              <w:t>3. 缺陷责任期：工程验收合格后12个月。</w:t>
            </w:r>
          </w:p>
          <w:p>
            <w:pPr>
              <w:pStyle w:val="null3"/>
            </w:pPr>
            <w:r>
              <w:rPr>
                <w:rFonts w:ascii="仿宋_GB2312" w:hAnsi="仿宋_GB2312" w:cs="仿宋_GB2312" w:eastAsia="仿宋_GB2312"/>
              </w:rPr>
              <w:t>4. 漏项处理：施工过程中发现工程量清单中存在漏项工程的，该漏项工程作为本项目采购的组成部分，采购人和供应商可以按照双方合同的规定协商解决。</w:t>
            </w:r>
          </w:p>
          <w:p>
            <w:pPr>
              <w:pStyle w:val="null3"/>
            </w:pPr>
            <w:r>
              <w:rPr>
                <w:rFonts w:ascii="仿宋_GB2312" w:hAnsi="仿宋_GB2312" w:cs="仿宋_GB2312" w:eastAsia="仿宋_GB2312"/>
              </w:rPr>
              <w:t>5. 施工要求：</w:t>
            </w:r>
          </w:p>
          <w:p>
            <w:pPr>
              <w:pStyle w:val="null3"/>
            </w:pPr>
            <w:r>
              <w:rPr>
                <w:rFonts w:ascii="仿宋_GB2312" w:hAnsi="仿宋_GB2312" w:cs="仿宋_GB2312" w:eastAsia="仿宋_GB2312"/>
              </w:rPr>
              <w:t>5.1 遵守国家相关法律、法规，遵守国家相关技术规范；</w:t>
            </w:r>
          </w:p>
          <w:p>
            <w:pPr>
              <w:pStyle w:val="null3"/>
            </w:pPr>
            <w:r>
              <w:rPr>
                <w:rFonts w:ascii="仿宋_GB2312" w:hAnsi="仿宋_GB2312" w:cs="仿宋_GB2312" w:eastAsia="仿宋_GB2312"/>
              </w:rPr>
              <w:t>5.2 所选材料必须保证质量可靠、进货渠道正常，符合国家环保等相关标准，满足施工要求；</w:t>
            </w:r>
          </w:p>
          <w:p>
            <w:pPr>
              <w:pStyle w:val="null3"/>
            </w:pPr>
            <w:r>
              <w:rPr>
                <w:rFonts w:ascii="仿宋_GB2312" w:hAnsi="仿宋_GB2312" w:cs="仿宋_GB2312" w:eastAsia="仿宋_GB2312"/>
              </w:rPr>
              <w:t>5.3 工程质量符合国家有关规范，确保达到合格；</w:t>
            </w:r>
          </w:p>
          <w:p>
            <w:pPr>
              <w:pStyle w:val="null3"/>
            </w:pPr>
            <w:r>
              <w:rPr>
                <w:rFonts w:ascii="仿宋_GB2312" w:hAnsi="仿宋_GB2312" w:cs="仿宋_GB2312" w:eastAsia="仿宋_GB2312"/>
              </w:rPr>
              <w:t>5.4 遵守有关施工规范和安全操作规程，采取有效的安全保障措施，确保施工安全，包括悬挂警示标牌、装设围栏、配备安全人员等，并承担事故的全部费用和责任；</w:t>
            </w:r>
          </w:p>
          <w:p>
            <w:pPr>
              <w:pStyle w:val="null3"/>
            </w:pPr>
            <w:r>
              <w:rPr>
                <w:rFonts w:ascii="仿宋_GB2312" w:hAnsi="仿宋_GB2312" w:cs="仿宋_GB2312" w:eastAsia="仿宋_GB2312"/>
              </w:rPr>
              <w:t>5.5 施工单位必须服从当地对治安、卫生、环保、社会保险等工程建设的统一管理，并按有关规定交纳费用以及因违反相关规定而造成的罚款；</w:t>
            </w:r>
          </w:p>
          <w:p>
            <w:pPr>
              <w:pStyle w:val="null3"/>
            </w:pPr>
            <w:r>
              <w:rPr>
                <w:rFonts w:ascii="仿宋_GB2312" w:hAnsi="仿宋_GB2312" w:cs="仿宋_GB2312" w:eastAsia="仿宋_GB2312"/>
              </w:rPr>
              <w:t>5.6 本工程不允许转包；</w:t>
            </w:r>
          </w:p>
          <w:p>
            <w:pPr>
              <w:pStyle w:val="null3"/>
            </w:pPr>
            <w:r>
              <w:rPr>
                <w:rFonts w:ascii="仿宋_GB2312" w:hAnsi="仿宋_GB2312" w:cs="仿宋_GB2312" w:eastAsia="仿宋_GB2312"/>
              </w:rPr>
              <w:t>5.7 供应商自行办理垃圾清理手续，遵守当地政府垃圾分类处理有关规定，承担自行处置不当导致的全部费用和责任。</w:t>
            </w:r>
          </w:p>
          <w:p>
            <w:pPr>
              <w:pStyle w:val="null3"/>
            </w:pPr>
            <w:r>
              <w:rPr>
                <w:rFonts w:ascii="仿宋_GB2312" w:hAnsi="仿宋_GB2312" w:cs="仿宋_GB2312" w:eastAsia="仿宋_GB2312"/>
              </w:rPr>
              <w:t>6.质量验收标准或规范：</w:t>
            </w:r>
          </w:p>
          <w:p>
            <w:pPr>
              <w:pStyle w:val="null3"/>
            </w:pPr>
            <w:r>
              <w:rPr>
                <w:rFonts w:ascii="仿宋_GB2312" w:hAnsi="仿宋_GB2312" w:cs="仿宋_GB2312" w:eastAsia="仿宋_GB2312"/>
              </w:rPr>
              <w:t>6.1 国家现行有关法律、法规、环保和技术指标；</w:t>
            </w:r>
          </w:p>
          <w:p>
            <w:pPr>
              <w:pStyle w:val="null3"/>
            </w:pPr>
            <w:r>
              <w:rPr>
                <w:rFonts w:ascii="仿宋_GB2312" w:hAnsi="仿宋_GB2312" w:cs="仿宋_GB2312" w:eastAsia="仿宋_GB2312"/>
              </w:rPr>
              <w:t>6.2 本项目施工合同；</w:t>
            </w:r>
          </w:p>
          <w:p>
            <w:pPr>
              <w:pStyle w:val="null3"/>
            </w:pPr>
            <w:r>
              <w:rPr>
                <w:rFonts w:ascii="仿宋_GB2312" w:hAnsi="仿宋_GB2312" w:cs="仿宋_GB2312" w:eastAsia="仿宋_GB2312"/>
              </w:rPr>
              <w:t>6.3 经批准的设计文件及工程变更文件；</w:t>
            </w:r>
          </w:p>
          <w:p>
            <w:pPr>
              <w:pStyle w:val="null3"/>
            </w:pPr>
            <w:r>
              <w:rPr>
                <w:rFonts w:ascii="仿宋_GB2312" w:hAnsi="仿宋_GB2312" w:cs="仿宋_GB2312" w:eastAsia="仿宋_GB2312"/>
              </w:rPr>
              <w:t>6.4 有关部政府部门的规定。</w:t>
            </w:r>
          </w:p>
          <w:p>
            <w:pPr>
              <w:pStyle w:val="null3"/>
            </w:pPr>
            <w:r>
              <w:rPr>
                <w:rFonts w:ascii="仿宋_GB2312" w:hAnsi="仿宋_GB2312" w:cs="仿宋_GB2312" w:eastAsia="仿宋_GB2312"/>
              </w:rPr>
              <w:t>7.项目检验与验收：</w:t>
            </w:r>
          </w:p>
          <w:p>
            <w:pPr>
              <w:pStyle w:val="null3"/>
            </w:pPr>
            <w:r>
              <w:rPr>
                <w:rFonts w:ascii="仿宋_GB2312" w:hAnsi="仿宋_GB2312" w:cs="仿宋_GB2312" w:eastAsia="仿宋_GB2312"/>
              </w:rPr>
              <w:t>7.1 成交供应商向采购人提交项目实施过程中的所有资料；</w:t>
            </w:r>
          </w:p>
          <w:p>
            <w:pPr>
              <w:pStyle w:val="null3"/>
            </w:pPr>
            <w:r>
              <w:rPr>
                <w:rFonts w:ascii="仿宋_GB2312" w:hAnsi="仿宋_GB2312" w:cs="仿宋_GB2312" w:eastAsia="仿宋_GB2312"/>
              </w:rPr>
              <w:t>7.2 验收须以合同、磋商文件及响应文件、澄清、及国家相应的标准、规范等为依据。</w:t>
            </w:r>
          </w:p>
          <w:p>
            <w:pPr>
              <w:pStyle w:val="null3"/>
            </w:pPr>
            <w:r>
              <w:rPr>
                <w:rFonts w:ascii="仿宋_GB2312" w:hAnsi="仿宋_GB2312" w:cs="仿宋_GB2312" w:eastAsia="仿宋_GB2312"/>
              </w:rPr>
              <w:t>8.合同的变更、中止、终止：合同一经签订，不得擅自变更、中止或者终止合同。对确需变更、调整或者中止、终止合同的，由双方协商解决。</w:t>
            </w:r>
          </w:p>
          <w:p>
            <w:pPr>
              <w:pStyle w:val="null3"/>
            </w:pPr>
            <w:r>
              <w:rPr>
                <w:rFonts w:ascii="仿宋_GB2312" w:hAnsi="仿宋_GB2312" w:cs="仿宋_GB2312" w:eastAsia="仿宋_GB2312"/>
              </w:rPr>
              <w:t>9.合同争议的处理：合同在履行过程中发生的争议，当事人双方应协商解决，协商达不成一致时，可向采购方所在地仲裁委员会申请仲裁或者向人民法院提请诉讼。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10.违约责任：</w:t>
            </w:r>
          </w:p>
          <w:p>
            <w:pPr>
              <w:pStyle w:val="null3"/>
            </w:pPr>
            <w:r>
              <w:rPr>
                <w:rFonts w:ascii="仿宋_GB2312" w:hAnsi="仿宋_GB2312" w:cs="仿宋_GB2312" w:eastAsia="仿宋_GB2312"/>
              </w:rPr>
              <w:t>10.1 按《中华人民共和国政府采购法》《中华人民共和国民法典》中的相关条款执行；</w:t>
            </w:r>
          </w:p>
          <w:p>
            <w:pPr>
              <w:pStyle w:val="null3"/>
              <w:jc w:val="both"/>
            </w:pPr>
            <w:r>
              <w:rPr>
                <w:rFonts w:ascii="仿宋_GB2312" w:hAnsi="仿宋_GB2312" w:cs="仿宋_GB2312" w:eastAsia="仿宋_GB2312"/>
                <w:sz w:val="21"/>
              </w:rPr>
              <w:t>10.2 未按要求提供货物、质量、环保标准不能满足技术要求的，施工方必须无条件更换，否则，采购单位有权终止合同，并对施工方的违约行为报监管机构进行相应的处罚。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供应商须具有水利水电工程施工总承包三级及以上资质，并具有有效的安全生产许可证。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拟派本项目的项目经理须具备水利水电工程专业二级及以上注册建造师，并持有效的安全生产考核合格证书，且无在建工程(出具无在建承诺书）。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业绩一览表.docx 已标价工程量清单 供应商应提交的相关资格证明材料.docx 拟投入本工程的主要施工设备表.docx 中小企业声明函 报价函 商务要求应答表.docx 标的清单 拟派项目团队人员配置表.docx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总实施方案.docx 报价函 商务要求应答表.docx 标的清单 拟派项目团队人员配置表.docx 项目经理简历表.docx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已标价工程量清单 拟投入本工程的主要施工设备表.docx 中小企业声明函 商务要求应答表.docx 响应文件封面 供应商应提交的相关资格证明材料.docx 总实施方案.docx 报价函 标的清单 拟派项目团队人员配置表.docx 项目经理简历表.docx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工期、质量要求、缺陷责任期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报价函 商务要求应答表.docx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施工方案技术措施</w:t>
            </w:r>
          </w:p>
        </w:tc>
        <w:tc>
          <w:tcPr>
            <w:tcW w:type="dxa" w:w="2492"/>
          </w:tcPr>
          <w:p>
            <w:pPr>
              <w:pStyle w:val="null3"/>
            </w:pPr>
            <w:r>
              <w:rPr>
                <w:rFonts w:ascii="仿宋_GB2312" w:hAnsi="仿宋_GB2312" w:cs="仿宋_GB2312" w:eastAsia="仿宋_GB2312"/>
              </w:rPr>
              <w:t>针对本项目提供的施工方案技术措施进行综合评审。 1.实施方案详细、可行，完全满足项目实施的得7.1-10分； 2.实施方案较详细、较可行，较满足项目实施的得3.1-7分； 3.实施方案基本详细、基本可行，基本满足项目实施的得1-3分；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施工安全保障措施</w:t>
            </w:r>
          </w:p>
        </w:tc>
        <w:tc>
          <w:tcPr>
            <w:tcW w:type="dxa" w:w="2492"/>
          </w:tcPr>
          <w:p>
            <w:pPr>
              <w:pStyle w:val="null3"/>
            </w:pPr>
            <w:r>
              <w:rPr>
                <w:rFonts w:ascii="仿宋_GB2312" w:hAnsi="仿宋_GB2312" w:cs="仿宋_GB2312" w:eastAsia="仿宋_GB2312"/>
              </w:rPr>
              <w:t>针对本项目提供的施工安全保障措施进行综合评审。 1.安全管理目标明确，安全保障措施合理、可行得7.1-10分； 2.安全管理目标较明确，安全保障措施较合理、较可行得3.1-7分； 3.安全管理目标基本明确，安全保障措施基本合理、基本可行得1-3分；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环境保障措施</w:t>
            </w:r>
          </w:p>
        </w:tc>
        <w:tc>
          <w:tcPr>
            <w:tcW w:type="dxa" w:w="2492"/>
          </w:tcPr>
          <w:p>
            <w:pPr>
              <w:pStyle w:val="null3"/>
            </w:pPr>
            <w:r>
              <w:rPr>
                <w:rFonts w:ascii="仿宋_GB2312" w:hAnsi="仿宋_GB2312" w:cs="仿宋_GB2312" w:eastAsia="仿宋_GB2312"/>
              </w:rPr>
              <w:t>针对本项目提供的环境保障措施进行综合评审。 1.措施合理，完全满足项目实施得4.1-7分； 2.措施较合理，较满足项目实施得2.1-4分； 3.措施基本合理，基本满足项目实施得1-2分；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质量目标及措施</w:t>
            </w:r>
          </w:p>
        </w:tc>
        <w:tc>
          <w:tcPr>
            <w:tcW w:type="dxa" w:w="2492"/>
          </w:tcPr>
          <w:p>
            <w:pPr>
              <w:pStyle w:val="null3"/>
            </w:pPr>
            <w:r>
              <w:rPr>
                <w:rFonts w:ascii="仿宋_GB2312" w:hAnsi="仿宋_GB2312" w:cs="仿宋_GB2312" w:eastAsia="仿宋_GB2312"/>
              </w:rPr>
              <w:t>针对本项目质量目标及措施进行综合评审。 1.质量目标明确，措施合理得4.1-7分； 2.质量目标较明确，措施较合理得2.1-4分； 3.质量目标基本明确，措施基本合理得1-2分；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针对本项目提供的文明施工措施进行综合评审。 1.措施合理，完全满足项目实施得4.1-7分； 2.措施较合理，较满足项目实施得2.1-4分； 3.措施基本合理，基本满足项目实施得1-2分；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针对本项目工期的技术组织措施进行综合评审。 1.技术组织措施详细，工期进度保证措施合理得4.1-7分；2.技术组织措施较详细，工期进度保证措施较合理得2.1-4分；3.技术组织措施基本详细，工期进度保证措施基本合理得1-2分；4.未提供此项内容不得分。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针对拟投入本项目的主要施工机械设备配置情况进行综合评审。 1.施工设备配备齐全，合理得4.1-6分；2.施工设备配备较齐全，较合理得2.1-4分；3.施工设备配备基本齐全，基本合理得1-2分；4.未提供此项内容不得分。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拟投入本工程的主要施工设备表.docx</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对本项目劳动力配备进行综合评审。1.劳动力配备合理、分工明确得4.1-6分；2.劳动力配备较合理、分工较明确得2.1-4分；3.劳动力配备基本合理、分工基本明确得1-2分； 4.未提供此项内容不得分。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供应商提供2023年1月至今完成的类似项目业绩，每提供一个合格业绩得2.5分，满分5分。未提供此项内容不得分。 注：业绩以中标（成交）通知书和合同（协议书)为准，响应文件内附复印件并加盖公章。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特点提供切实可行的施工安全承诺、文明施工承诺、施工质量保证承诺、工期保证承诺、施工环境承诺等，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项目经理具备高级职称得3分，中级职称得2分，其他不得分。 注：响应文件内附职称证复印件并加盖公章。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备进行综合评审。1.项目团队人员配备合理，分工明确，职责清晰得4.1-7分；2.项目团队人员配备较合理，分工较明确，职责较清晰得2.1-4分；3.项目团队人员配备基本合理，分工基本明确，职责基本清晰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详见附件：拟投入本工程的主要施工设备表.docx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