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360" w:lineRule="auto"/>
        <w:ind w:left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技术响应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方案</w:t>
      </w:r>
    </w:p>
    <w:p>
      <w:pPr>
        <w:ind w:firstLine="562" w:firstLineChars="200"/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技术响应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</w:rPr>
        <w:t>格式自拟，内容包括但不限于：总体施工方案、质量管理措施、安全文明施工措施、工程进度计划与措施、机械设备和劳动力配置情况、施工应急方案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等）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C027A58"/>
    <w:rsid w:val="63395E0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吴凤华</cp:lastModifiedBy>
  <dcterms:modified xsi:type="dcterms:W3CDTF">2025-09-29T08:18:37Z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BF0BD238BF5F4A13A41D14FBCD51F31B</vt:lpwstr>
  </property>
</Properties>
</file>