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版本号：SXTDCG202500520250929001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西乡县高川镇白云桥危桥改造工程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SXTDCG2025005</w:t>
      </w:r>
      <w:r>
        <w:br/>
      </w:r>
      <w:r>
        <w:br/>
      </w:r>
      <w:r>
        <w:br/>
      </w:r>
    </w:p>
    <w:p>
      <w:pPr>
        <w:pStyle w:val="null3"/>
        <w:jc w:val="center"/>
        <w:outlineLvl w:val="2"/>
      </w:pPr>
      <w:r>
        <w:rPr>
          <w:rFonts w:ascii="仿宋_GB2312" w:hAnsi="仿宋_GB2312" w:cs="仿宋_GB2312" w:eastAsia="仿宋_GB2312"/>
          <w:sz w:val="28"/>
          <w:b/>
        </w:rPr>
        <w:t>西乡县交通运输局</w:t>
      </w:r>
    </w:p>
    <w:p>
      <w:pPr>
        <w:pStyle w:val="null3"/>
        <w:jc w:val="center"/>
        <w:outlineLvl w:val="2"/>
      </w:pPr>
      <w:r>
        <w:rPr>
          <w:rFonts w:ascii="仿宋_GB2312" w:hAnsi="仿宋_GB2312" w:cs="仿宋_GB2312" w:eastAsia="仿宋_GB2312"/>
          <w:sz w:val="28"/>
          <w:b/>
        </w:rPr>
        <w:t>陕西天德建设工程咨询有限公司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陕西天德建设工程咨询有限公司</w:t>
      </w:r>
      <w:r>
        <w:rPr>
          <w:rFonts w:ascii="仿宋_GB2312" w:hAnsi="仿宋_GB2312" w:cs="仿宋_GB2312" w:eastAsia="仿宋_GB2312"/>
        </w:rPr>
        <w:t>（以下简称“代理机构”）受</w:t>
      </w:r>
      <w:r>
        <w:rPr>
          <w:rFonts w:ascii="仿宋_GB2312" w:hAnsi="仿宋_GB2312" w:cs="仿宋_GB2312" w:eastAsia="仿宋_GB2312"/>
        </w:rPr>
        <w:t>西乡县交通运输局</w:t>
      </w:r>
      <w:r>
        <w:rPr>
          <w:rFonts w:ascii="仿宋_GB2312" w:hAnsi="仿宋_GB2312" w:cs="仿宋_GB2312" w:eastAsia="仿宋_GB2312"/>
        </w:rPr>
        <w:t>委托，拟对</w:t>
      </w:r>
      <w:r>
        <w:rPr>
          <w:rFonts w:ascii="仿宋_GB2312" w:hAnsi="仿宋_GB2312" w:cs="仿宋_GB2312" w:eastAsia="仿宋_GB2312"/>
        </w:rPr>
        <w:t>西乡县高川镇白云桥危桥改造工程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SXTDCG2025005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西乡县高川镇白云桥危桥改造工程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乡县高川镇白云桥危桥改造工程，位于西乡县高川镇白云村，跨越富水河。白云桥建于2015年，汽车荷载：公路-Ⅱ级。本桥上部采用4*10m钢筋混凝土板，下部结构为柱式墩、桩基础，桥梁全长49.04m，桥宽5m，桥面采用混凝土铺装。该工程由汉中公路勘察设计有限公司设计，工程主要内容有：聚合物水泥砂浆修补、灌缝处理、新做波形钢护栏，桥下铺砌等（具体内容以本项目工程量清单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采购包1（西乡县高川镇白云桥危桥加固改造工程）：属于专门面向中小企业采购。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事业法人、其他组织，提供营业执照（事业单位须事业单位法人证、组织机构代码证等证明文件；其他组织应提供合法证明文件）复印件并加盖公章。</w:t>
      </w:r>
    </w:p>
    <w:p>
      <w:pPr>
        <w:pStyle w:val="null3"/>
      </w:pPr>
      <w:r>
        <w:rPr>
          <w:rFonts w:ascii="仿宋_GB2312" w:hAnsi="仿宋_GB2312" w:cs="仿宋_GB2312" w:eastAsia="仿宋_GB2312"/>
        </w:rPr>
        <w:t>2、法定代表人身份证明或授权委托书：法定代表人参加投标须提供《法定代表人身份证明》及身份证复印件；法定代表人授权他人参加投标，须提供《法定代表人授权委托书》及委托代理人身份证复印件。</w:t>
      </w:r>
    </w:p>
    <w:p>
      <w:pPr>
        <w:pStyle w:val="null3"/>
      </w:pPr>
      <w:r>
        <w:rPr>
          <w:rFonts w:ascii="仿宋_GB2312" w:hAnsi="仿宋_GB2312" w:cs="仿宋_GB2312" w:eastAsia="仿宋_GB2312"/>
        </w:rPr>
        <w:t>3、供应商资质：投标供应商具备建设行政主管部门核发的公路工程施工总承包三级及以上资质或桥梁工程专业承包三级及以上资质，并具有有效的安全生产许可证。（提供加盖投标供应商公章的资质证书及安全生产许可证复印件）。</w:t>
      </w:r>
    </w:p>
    <w:p>
      <w:pPr>
        <w:pStyle w:val="null3"/>
      </w:pPr>
      <w:r>
        <w:rPr>
          <w:rFonts w:ascii="仿宋_GB2312" w:hAnsi="仿宋_GB2312" w:cs="仿宋_GB2312" w:eastAsia="仿宋_GB2312"/>
        </w:rPr>
        <w:t>4、拟派项目负责人资质和专业要求：拟派项目经理具备公路工程专业二级及以上注册建造师资格，并具有有效的安全生产考核合格证（交安B证），且未担任其他在建工程的项目经理（出具无在建工程承诺书）。 （提供加盖投标供应商公章的建造师注册证、安全生产考核合格证书（交安B证）复印件，项目经理无在建工程承诺书提供原件）。</w:t>
      </w:r>
    </w:p>
    <w:p>
      <w:pPr>
        <w:pStyle w:val="null3"/>
      </w:pPr>
      <w:r>
        <w:rPr>
          <w:rFonts w:ascii="仿宋_GB2312" w:hAnsi="仿宋_GB2312" w:cs="仿宋_GB2312" w:eastAsia="仿宋_GB2312"/>
        </w:rPr>
        <w:t>5、供应商资格承诺函：供应商须具有良好的商业信誉和健全的财务会计制度、履行合同所必需的设备和专业技术能力、依法缴纳税收和社会保障金的良好记录，以及参加采购活动前三年内无重大违法活动记录。供应商须提供《汉中市政府采购供应商资格承诺函》并加盖公章。</w:t>
      </w:r>
    </w:p>
    <w:p>
      <w:pPr>
        <w:pStyle w:val="null3"/>
      </w:pPr>
      <w:r>
        <w:rPr>
          <w:rFonts w:ascii="仿宋_GB2312" w:hAnsi="仿宋_GB2312" w:cs="仿宋_GB2312" w:eastAsia="仿宋_GB2312"/>
        </w:rPr>
        <w:t>6、控股管理关系声明：单位负责人为同一人或者存在直接控股、管理关系的不同单位不得参加同一合同项下的政府采购活动。供应商须提供《控股管理关系声明》。</w:t>
      </w:r>
    </w:p>
    <w:p>
      <w:pPr>
        <w:pStyle w:val="null3"/>
      </w:pPr>
      <w:r>
        <w:rPr>
          <w:rFonts w:ascii="仿宋_GB2312" w:hAnsi="仿宋_GB2312" w:cs="仿宋_GB2312" w:eastAsia="仿宋_GB2312"/>
        </w:rPr>
        <w:t>7、非联合体投标声明：本项目不接受联合体投标。供应商须提供《非联合体投标书面声明》。</w:t>
      </w:r>
    </w:p>
    <w:p>
      <w:pPr>
        <w:pStyle w:val="null3"/>
      </w:pPr>
      <w:r>
        <w:rPr>
          <w:rFonts w:ascii="仿宋_GB2312" w:hAnsi="仿宋_GB2312" w:cs="仿宋_GB2312" w:eastAsia="仿宋_GB2312"/>
        </w:rPr>
        <w:t>8、投标供应商企业类型：本项目专门面向中小企业采购，所提供工程施工的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13992697680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陕西天德建设工程咨询有限公司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陕西省汉中市汉台区北关街道办事处滨江公园壹号9A办公楼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17392027897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采购包1：562,911.11元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书面工程施工合同之前应按采购人要求提交工程履约保证金，履约保证金不超过中标金额的百分之十。中标人如不按规定与采购人订立合同或未按采购人要求提交履约保证金，则采购人将废除其中标资格，其投标保证金不予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代理服务费收费标准：按最高限价金额的 7‰ 计算，由成交供应商领取中标（成交）通知书前一次性支付给采购代理机构。</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西乡县交通运输局</w:t>
      </w:r>
      <w:r>
        <w:rPr>
          <w:rFonts w:ascii="仿宋_GB2312" w:hAnsi="仿宋_GB2312" w:cs="仿宋_GB2312" w:eastAsia="仿宋_GB2312"/>
        </w:rPr>
        <w:t>和</w:t>
      </w:r>
      <w:r>
        <w:rPr>
          <w:rFonts w:ascii="仿宋_GB2312" w:hAnsi="仿宋_GB2312" w:cs="仿宋_GB2312" w:eastAsia="仿宋_GB2312"/>
        </w:rPr>
        <w:t>陕西天德建设工程咨询有限公司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陕西天德建设工程咨询有限公司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陕西天德建设工程咨询有限公司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符合国家质量验收标准。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陕西天德建设工程咨询有限公司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陕西天德建设工程咨询有限公司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陕西天德建设工程咨询有限公司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联系人：杨东</w:t>
      </w:r>
    </w:p>
    <w:p>
      <w:pPr>
        <w:pStyle w:val="null3"/>
      </w:pPr>
      <w:r>
        <w:rPr>
          <w:rFonts w:ascii="仿宋_GB2312" w:hAnsi="仿宋_GB2312" w:cs="仿宋_GB2312" w:eastAsia="仿宋_GB2312"/>
        </w:rPr>
        <w:t>联系电话：17392027897</w:t>
      </w:r>
    </w:p>
    <w:p>
      <w:pPr>
        <w:pStyle w:val="null3"/>
      </w:pPr>
      <w:r>
        <w:rPr>
          <w:rFonts w:ascii="仿宋_GB2312" w:hAnsi="仿宋_GB2312" w:cs="仿宋_GB2312" w:eastAsia="仿宋_GB2312"/>
        </w:rPr>
        <w:t>地址：陕西省汉中市汉台区北关街道办事处滨江公园壹号9A办公楼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562,911.11</w:t>
      </w:r>
    </w:p>
    <w:p>
      <w:pPr>
        <w:pStyle w:val="null3"/>
      </w:pPr>
      <w:r>
        <w:rPr>
          <w:rFonts w:ascii="仿宋_GB2312" w:hAnsi="仿宋_GB2312" w:cs="仿宋_GB2312" w:eastAsia="仿宋_GB2312"/>
        </w:rPr>
        <w:t>采购包最高限价（元）: 562,911.11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西乡县高川镇白云桥危桥改造工程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562,911.11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标的名称：西乡县高川镇白云桥危桥改造工程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采购内容:西乡县高川镇白云桥危桥改造工程，主要功能或目标:消除桥梁安全隐患,确保按期完成;需满足的要求:符合设计图纸要求以及满足本工程的技术标准和规范要求。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公路桥梁行业技术规范标准。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 户开户银行自开标时间前六个月内出具的资信证明。依法不需要提供此项的单位应提供相关证明材料:供应商需在项目电子化交易系 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供应商为具有独立承担民事责任能力的企业法人、事业法人、其他组织，提供营业执照（事业单位须事业单位法人证、组织机构代码证等证明文件；其他组织应提供合法证明文件）复印件并加盖公章。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法定代表人参加投标须提供《法定代表人身份证明》及身份证复印件；法定代表人授权他人参加投标，须提供《法定代表人授权委托书》及委托代理人身份证复印件。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投标供应商具备建设行政主管部门核发的公路工程施工总承包三级及以上资质或桥梁工程专业承包三级及以上资质，并具有有效的安全生产许可证。（提供加盖投标供应商公章的资质证书及安全生产许可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拟派项目经理具备公路工程专业二级及以上注册建造师资格，并具有有效的安全生产考核合格证（交安B证），且未担任其他在建工程的项目经理（出具无在建工程承诺书）。 （提供加盖投标供应商公章的建造师注册证、安全生产考核合格证书（交安B证）复印件，项目经理无在建工程承诺书提供原件）。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采购活动前三年内无重大违法活动记录。供应商须提供《汉中市政府采购供应商资格承诺函》并加盖公章。</w:t>
            </w:r>
          </w:p>
        </w:tc>
        <w:tc>
          <w:tcPr>
            <w:tcW w:type="dxa" w:w="1661"/>
          </w:tcPr>
          <w:p>
            <w:pPr>
              <w:pStyle w:val="null3"/>
            </w:pPr>
            <w:r>
              <w:rPr>
                <w:rFonts w:ascii="仿宋_GB2312" w:hAnsi="仿宋_GB2312" w:cs="仿宋_GB2312" w:eastAsia="仿宋_GB2312"/>
              </w:rPr>
              <w:t>供应商应提交的相关资格证明材料.docx 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控股管理关系声明</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单位负责人为同一人或者存在直接控股、管理关系的不同单位不得参加同一合同项下的政府采购活动。供应商须提供《控股管理关系声明》。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本项目不接受联合体投标。供应商须提供《非联合体投标书面声明》。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投标供应商企业类型</w:t>
            </w:r>
          </w:p>
        </w:tc>
        <w:tc>
          <w:tcPr>
            <w:tcW w:type="dxa" w:w="3322"/>
          </w:tcPr>
          <w:p>
            <w:pPr>
              <w:pStyle w:val="null3"/>
            </w:pPr>
            <w:r>
              <w:rPr>
                <w:rFonts w:ascii="仿宋_GB2312" w:hAnsi="仿宋_GB2312" w:cs="仿宋_GB2312" w:eastAsia="仿宋_GB2312"/>
              </w:rPr>
              <w:t>本项目专门面向中小企业采购，所提供工程施工的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磋商响应文件有法定代表人或授权委托人的签字或盖章并加盖投标供应商公章</w:t>
            </w:r>
          </w:p>
        </w:tc>
        <w:tc>
          <w:tcPr>
            <w:tcW w:type="dxa" w:w="1661"/>
          </w:tcPr>
          <w:p>
            <w:pPr>
              <w:pStyle w:val="null3"/>
            </w:pPr>
            <w:r>
              <w:rPr>
                <w:rFonts w:ascii="仿宋_GB2312" w:hAnsi="仿宋_GB2312" w:cs="仿宋_GB2312" w:eastAsia="仿宋_GB2312"/>
              </w:rPr>
              <w:t>已标价工程量清单 中小企业声明函 类似业绩一览表.docx 磋商报价.docx 供应商承诺书.docx 响应文件封面 供应商应提交的相关资格证明材料.docx 技术响应方案.docx 拟投入本项目人员配置情况表.docx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已标价工程量清单 中小企业声明函 类似业绩一览表.docx 磋商报价.docx 供应商承诺书.docx 响应文件封面 供应商应提交的相关资格证明材料.docx 技术响应方案.docx 拟投入本项目人员配置情况表.docx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只能有一个有效报价，不得提交选择性报价。磋商报价不超出最高限价。</w:t>
            </w:r>
          </w:p>
        </w:tc>
        <w:tc>
          <w:tcPr>
            <w:tcW w:type="dxa" w:w="1661"/>
          </w:tcPr>
          <w:p>
            <w:pPr>
              <w:pStyle w:val="null3"/>
            </w:pPr>
            <w:r>
              <w:rPr>
                <w:rFonts w:ascii="仿宋_GB2312" w:hAnsi="仿宋_GB2312" w:cs="仿宋_GB2312" w:eastAsia="仿宋_GB2312"/>
              </w:rPr>
              <w:t>已标价工程量清单 报价函 标的清单 响应函 磋商报价.docx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应符合“投标供应商须知前附表”规定</w:t>
            </w:r>
          </w:p>
        </w:tc>
        <w:tc>
          <w:tcPr>
            <w:tcW w:type="dxa" w:w="1661"/>
          </w:tcPr>
          <w:p>
            <w:pPr>
              <w:pStyle w:val="null3"/>
            </w:pPr>
            <w:r>
              <w:rPr>
                <w:rFonts w:ascii="仿宋_GB2312" w:hAnsi="仿宋_GB2312" w:cs="仿宋_GB2312" w:eastAsia="仿宋_GB2312"/>
              </w:rPr>
              <w:t>报价函 响应函 磋商报价.docx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应满足采购文件的规定。</w:t>
            </w:r>
          </w:p>
        </w:tc>
        <w:tc>
          <w:tcPr>
            <w:tcW w:type="dxa" w:w="1661"/>
          </w:tcPr>
          <w:p>
            <w:pPr>
              <w:pStyle w:val="null3"/>
            </w:pPr>
            <w:r>
              <w:rPr>
                <w:rFonts w:ascii="仿宋_GB2312" w:hAnsi="仿宋_GB2312" w:cs="仿宋_GB2312" w:eastAsia="仿宋_GB2312"/>
              </w:rPr>
              <w:t>报价函 响应函 磋商报价.docx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应满足采购文件的规定。</w:t>
            </w:r>
          </w:p>
        </w:tc>
        <w:tc>
          <w:tcPr>
            <w:tcW w:type="dxa" w:w="1661"/>
          </w:tcPr>
          <w:p>
            <w:pPr>
              <w:pStyle w:val="null3"/>
            </w:pPr>
            <w:r>
              <w:rPr>
                <w:rFonts w:ascii="仿宋_GB2312" w:hAnsi="仿宋_GB2312" w:cs="仿宋_GB2312" w:eastAsia="仿宋_GB2312"/>
              </w:rPr>
              <w:t>报价函 响应函 磋商报价.docx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无磋商文件或法规明确规定其他响应无效的 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已标价工程量清单 中小企业声明函 类似业绩一览表.docx 磋商报价.docx 供应商承诺书.docx 响应文件封面 供应商应提交的相关资格证明材料.docx 技术响应方案.docx 拟投入本项目人员配置情况表.docx 残疾人福利性单位声明函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 人员配备</w:t>
            </w:r>
          </w:p>
        </w:tc>
        <w:tc>
          <w:tcPr>
            <w:tcW w:type="dxa" w:w="2492"/>
          </w:tcPr>
          <w:p>
            <w:pPr>
              <w:pStyle w:val="null3"/>
            </w:pPr>
            <w:r>
              <w:rPr>
                <w:rFonts w:ascii="仿宋_GB2312" w:hAnsi="仿宋_GB2312" w:cs="仿宋_GB2312" w:eastAsia="仿宋_GB2312"/>
              </w:rPr>
              <w:t>项目部拟派人员组织机构科学合理、人员表配置充足，有详细的人员配置清单，针对性强，能够很好的满足项目需求，得7.1-10分；项目部组成基本合理、人员表配置基本齐全，具有人员配置清单，有一定的针对性，能够满足项目需求，得4.1-7.0分；项目部组成人员缺乏科学合理性，无人员配置清单，无法满足项目需求，得1.0-4.0分；未提供项目部组成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类似项 目业绩</w:t>
            </w:r>
          </w:p>
        </w:tc>
        <w:tc>
          <w:tcPr>
            <w:tcW w:type="dxa" w:w="2492"/>
          </w:tcPr>
          <w:p>
            <w:pPr>
              <w:pStyle w:val="null3"/>
            </w:pPr>
            <w:r>
              <w:rPr>
                <w:rFonts w:ascii="仿宋_GB2312" w:hAnsi="仿宋_GB2312" w:cs="仿宋_GB2312" w:eastAsia="仿宋_GB2312"/>
              </w:rPr>
              <w:t>投标供应商提供2022年1月1日至今已完成类似桥梁工程施工业绩(以施工合同签订的时间为准) ，每提供1个业绩得 2 分，最多得6 分。 （投标供应商提供业绩合同复印件并加盖供应商公章）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类似业绩一览表.docx</w:t>
            </w:r>
          </w:p>
        </w:tc>
      </w:tr>
      <w:tr>
        <w:tc>
          <w:tcPr>
            <w:tcW w:type="dxa" w:w="831"/>
            <w:vMerge/>
          </w:tcPr>
          <w:p/>
        </w:tc>
        <w:tc>
          <w:tcPr>
            <w:tcW w:type="dxa" w:w="1661"/>
          </w:tcPr>
          <w:p>
            <w:pPr>
              <w:pStyle w:val="null3"/>
            </w:pPr>
            <w:r>
              <w:rPr>
                <w:rFonts w:ascii="仿宋_GB2312" w:hAnsi="仿宋_GB2312" w:cs="仿宋_GB2312" w:eastAsia="仿宋_GB2312"/>
              </w:rPr>
              <w:t>总体施 工方案</w:t>
            </w:r>
          </w:p>
        </w:tc>
        <w:tc>
          <w:tcPr>
            <w:tcW w:type="dxa" w:w="2492"/>
          </w:tcPr>
          <w:p>
            <w:pPr>
              <w:pStyle w:val="null3"/>
            </w:pPr>
            <w:r>
              <w:rPr>
                <w:rFonts w:ascii="仿宋_GB2312" w:hAnsi="仿宋_GB2312" w:cs="仿宋_GB2312" w:eastAsia="仿宋_GB2312"/>
              </w:rPr>
              <w:t>对该项目实施的重点、难点进行分析，对易发生质量通病、易出现安全问题、施工难度大、技术含量高的部分进行说明并给出施工保障措施和专项技术方案（含主要施工方法、组织措施、检验手段等）。内容合理、方案具体可行、完全符合要求得8.1-12分；内容较合理、方案可行性一般，基本符合要求得4.1-8.0分；内容不完备、方案可行性差、不能全面符合要求得1.0-4.0分； 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供应商认为需要提供的其他内容.docx</w:t>
            </w:r>
          </w:p>
        </w:tc>
      </w:tr>
      <w:tr>
        <w:tc>
          <w:tcPr>
            <w:tcW w:type="dxa" w:w="831"/>
            <w:vMerge/>
          </w:tcPr>
          <w:p/>
        </w:tc>
        <w:tc>
          <w:tcPr>
            <w:tcW w:type="dxa" w:w="1661"/>
          </w:tcPr>
          <w:p>
            <w:pPr>
              <w:pStyle w:val="null3"/>
            </w:pPr>
            <w:r>
              <w:rPr>
                <w:rFonts w:ascii="仿宋_GB2312" w:hAnsi="仿宋_GB2312" w:cs="仿宋_GB2312" w:eastAsia="仿宋_GB2312"/>
              </w:rPr>
              <w:t>质量管 理措施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 内容合理、方案具体可行、完全符合要求得8.1-12分； 内容较合理、方案可行性一般，基本符合要求得4.1-8.0分； 内容不完备、方案可行性差、不能全面符合要求得1.0-4.0分；未提供不计分。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供应商认为需要提供的其他内容.docx</w:t>
            </w:r>
          </w:p>
        </w:tc>
      </w:tr>
      <w:tr>
        <w:tc>
          <w:tcPr>
            <w:tcW w:type="dxa" w:w="831"/>
            <w:vMerge/>
          </w:tcPr>
          <w:p/>
        </w:tc>
        <w:tc>
          <w:tcPr>
            <w:tcW w:type="dxa" w:w="1661"/>
          </w:tcPr>
          <w:p>
            <w:pPr>
              <w:pStyle w:val="null3"/>
            </w:pPr>
            <w:r>
              <w:rPr>
                <w:rFonts w:ascii="仿宋_GB2312" w:hAnsi="仿宋_GB2312" w:cs="仿宋_GB2312" w:eastAsia="仿宋_GB2312"/>
              </w:rPr>
              <w:t>安全文明 施工措施</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 安全文明、环保保证体系组织措施和控制点设置合理，内容合理、方案具体可行、完全符合要求得7.1-10分； 内容较合理、方案可行性一般，基本符合要求得4.1-7.0分； 内容不完备、方案可行性差、不能全面符合要求得1.0-4.0分；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供应商认为需要提供的其他内容.docx</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 整体进度安排（施工进度表或施工网络图）及各阶段进度保证措施内容合理、方案具体可行、完全符合要求得7.1-10分； 内容较合理、方案可行性一般，基本符合要求得4.1-7.0分； 内容不完备、方案可行性差、不能全面符合要求得1.0-4.0分；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供应商认为需要提供的其他内容.docx</w:t>
            </w:r>
          </w:p>
        </w:tc>
      </w:tr>
      <w:tr>
        <w:tc>
          <w:tcPr>
            <w:tcW w:type="dxa" w:w="831"/>
            <w:vMerge/>
          </w:tcPr>
          <w:p/>
        </w:tc>
        <w:tc>
          <w:tcPr>
            <w:tcW w:type="dxa" w:w="1661"/>
          </w:tcPr>
          <w:p>
            <w:pPr>
              <w:pStyle w:val="null3"/>
            </w:pPr>
            <w:r>
              <w:rPr>
                <w:rFonts w:ascii="仿宋_GB2312" w:hAnsi="仿宋_GB2312" w:cs="仿宋_GB2312" w:eastAsia="仿宋_GB2312"/>
              </w:rPr>
              <w:t>机械设备 和劳动力 配置情况</w:t>
            </w:r>
          </w:p>
        </w:tc>
        <w:tc>
          <w:tcPr>
            <w:tcW w:type="dxa" w:w="2492"/>
          </w:tcPr>
          <w:p>
            <w:pPr>
              <w:pStyle w:val="null3"/>
            </w:pPr>
            <w:r>
              <w:rPr>
                <w:rFonts w:ascii="仿宋_GB2312" w:hAnsi="仿宋_GB2312" w:cs="仿宋_GB2312" w:eastAsia="仿宋_GB2312"/>
              </w:rPr>
              <w:t>针对拟投入本项目主要机械数量、设备和劳动力配置合理程度等进行分析。主要机械数量齐全、设备和劳动力配置完全合理，符合本项目要求得3.1-5分；主要机械数量基本齐全、设备和劳动力配置较合理，基本符合本项目要求得2.1-3.0分；主要机械数量不齐全、设备和劳动力配置较差，不能全面符合本项目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供应商认为需要提供的其他内容.docx</w:t>
            </w:r>
          </w:p>
        </w:tc>
      </w:tr>
      <w:tr>
        <w:tc>
          <w:tcPr>
            <w:tcW w:type="dxa" w:w="831"/>
            <w:vMerge/>
          </w:tcPr>
          <w:p/>
        </w:tc>
        <w:tc>
          <w:tcPr>
            <w:tcW w:type="dxa" w:w="1661"/>
          </w:tcPr>
          <w:p>
            <w:pPr>
              <w:pStyle w:val="null3"/>
            </w:pPr>
            <w:r>
              <w:rPr>
                <w:rFonts w:ascii="仿宋_GB2312" w:hAnsi="仿宋_GB2312" w:cs="仿宋_GB2312" w:eastAsia="仿宋_GB2312"/>
              </w:rPr>
              <w:t>施工应急 方案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针对本项目制定切实可行的人工、材料、设备的组织方案、给出有针对性的施工应急方案。 内容合理、方案具体可行、完全符合要求得3.1-5分； 内容较合理、方案可行性一般，基本符合要求得2.1-3.0分； 内容不完备、方案可行性差、不能全面符合要求得1.0-2.0分；未提供不计分。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供应商认为需要提供的其他内容.docx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满足磋商文件要求且磋商报价最低的投标报价为磋商基准价，其价格分为满分。其他投标供应商的价格分统一按照下列公式计算：磋商报价得分=（磋商基准价/磋商报价）×30%×100。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磋商报价.docx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详见附件：磋商报价.docx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详见附件：西乡县高川镇白云桥改造施工合同docx.docx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