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版本号：pz-hzzc-02620251017003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2025年特殊困难老年人家庭适老化改造及老年人用品配置服务项目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pz-hzzc-026</w:t>
      </w:r>
      <w:r>
        <w:br/>
      </w:r>
      <w:r>
        <w:br/>
      </w:r>
      <w:r>
        <w:br/>
      </w:r>
    </w:p>
    <w:p>
      <w:pPr>
        <w:pStyle w:val="null3"/>
        <w:jc w:val="center"/>
        <w:outlineLvl w:val="2"/>
      </w:pPr>
      <w:r>
        <w:rPr>
          <w:rFonts w:ascii="仿宋_GB2312" w:hAnsi="仿宋_GB2312" w:cs="仿宋_GB2312" w:eastAsia="仿宋_GB2312"/>
          <w:sz w:val="28"/>
          <w:b/>
        </w:rPr>
        <w:t>西乡县民政局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西乡县民政局</w:t>
      </w:r>
      <w:r>
        <w:rPr>
          <w:rFonts w:ascii="仿宋_GB2312" w:hAnsi="仿宋_GB2312" w:cs="仿宋_GB2312" w:eastAsia="仿宋_GB2312"/>
        </w:rPr>
        <w:t>委托，拟对</w:t>
      </w:r>
      <w:r>
        <w:rPr>
          <w:rFonts w:ascii="仿宋_GB2312" w:hAnsi="仿宋_GB2312" w:cs="仿宋_GB2312" w:eastAsia="仿宋_GB2312"/>
        </w:rPr>
        <w:t>2025年特殊困难老年人家庭适老化改造及老年人用品配置服务项目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pz-hzzc-026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2025年特殊困难老年人家庭适老化改造及老年人用品配置服务项目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对辖区内符合条件的特殊困难老年人家庭适老化改造，聚焦老年人安全、健康等功能性需求，选择适配性产品，组成 不同场景居家环境的产品服务包，包括地面、墙体、居室、厨房间、卫生间等施工改造服务，围绕施工改造、设施配备、 老年用品配置等方面，按照老年人居家适老化改造项目和老年用品配置推荐清单，科学组织实施。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采购包1（服务）：属于专门面向中小企业采购。</w:t>
      </w:r>
    </w:p>
    <w:p>
      <w:pPr>
        <w:pStyle w:val="null3"/>
      </w:pPr>
      <w:r>
        <w:rPr>
          <w:rFonts w:ascii="仿宋_GB2312" w:hAnsi="仿宋_GB2312" w:cs="仿宋_GB2312" w:eastAsia="仿宋_GB2312"/>
        </w:rPr>
        <w:t>采购包2（服务）：属于专门面向中小企业采购。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承诺：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资格承诺：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西乡县西大街82号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18891602659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汉中市西乡县汉白路与梅苑路交叉口东80米院内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李文全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13891694366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华小平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采购包1：326,600.00元</w:t>
            </w:r>
          </w:p>
          <w:p>
            <w:pPr>
              <w:pStyle w:val="null3"/>
            </w:pPr>
            <w:r>
              <w:rPr>
                <w:rFonts w:ascii="仿宋_GB2312" w:hAnsi="仿宋_GB2312" w:cs="仿宋_GB2312" w:eastAsia="仿宋_GB2312"/>
              </w:rPr>
              <w:t>采购包2：142,400.00元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代理服务费收费标准：按国家计委关于印发《招标代理服务收费管理暂行办法》的通知（计价格[2002]1980号）号文的有关标准收取。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西乡县民政局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达到国家相关验收合格标准或质量标准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达到国家相关验收合格标准或质量标准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联系人：李文全</w:t>
      </w:r>
    </w:p>
    <w:p>
      <w:pPr>
        <w:pStyle w:val="null3"/>
      </w:pPr>
      <w:r>
        <w:rPr>
          <w:rFonts w:ascii="仿宋_GB2312" w:hAnsi="仿宋_GB2312" w:cs="仿宋_GB2312" w:eastAsia="仿宋_GB2312"/>
        </w:rPr>
        <w:t>联系电话：13891694366</w:t>
      </w:r>
    </w:p>
    <w:p>
      <w:pPr>
        <w:pStyle w:val="null3"/>
      </w:pPr>
      <w:r>
        <w:rPr>
          <w:rFonts w:ascii="仿宋_GB2312" w:hAnsi="仿宋_GB2312" w:cs="仿宋_GB2312" w:eastAsia="仿宋_GB2312"/>
        </w:rPr>
        <w:t>地址：汉中市西乡县汉白路与梅苑路交叉口东80米院内</w:t>
      </w:r>
    </w:p>
    <w:p>
      <w:pPr>
        <w:pStyle w:val="null3"/>
      </w:pPr>
      <w:r>
        <w:rPr>
          <w:rFonts w:ascii="仿宋_GB2312" w:hAnsi="仿宋_GB2312" w:cs="仿宋_GB2312" w:eastAsia="仿宋_GB2312"/>
        </w:rPr>
        <w:t>邮编：723500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辖区内符合条件的特殊困难老年人家庭适老化改造，聚焦老年人安全、健康等功能性需求，选择适配性产品，组成不同场景居家环境的产品服务包，包括地面、墙体、居室、厨房间、卫生间等施工改造服务，围绕施工改造、设施配备、老年用品配置等方面，按照老年人居家适老化改造项目和老年用品配置推荐清单，科学组织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326,600.00</w:t>
      </w:r>
    </w:p>
    <w:p>
      <w:pPr>
        <w:pStyle w:val="null3"/>
      </w:pPr>
      <w:r>
        <w:rPr>
          <w:rFonts w:ascii="仿宋_GB2312" w:hAnsi="仿宋_GB2312" w:cs="仿宋_GB2312" w:eastAsia="仿宋_GB2312"/>
        </w:rPr>
        <w:t>采购包最高限价（元）: 326,600.00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适老化改造及老年用品配置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326,600.00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142,400.00</w:t>
      </w:r>
    </w:p>
    <w:p>
      <w:pPr>
        <w:pStyle w:val="null3"/>
      </w:pPr>
      <w:r>
        <w:rPr>
          <w:rFonts w:ascii="仿宋_GB2312" w:hAnsi="仿宋_GB2312" w:cs="仿宋_GB2312" w:eastAsia="仿宋_GB2312"/>
        </w:rPr>
        <w:t>采购包最高限价（元）: 142,400.00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适老化改造及老年用品配置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标的名称：适老化改造及老年用品配置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不锈钢落地扶手：1.面管最大直径50mm，SUS201不锈钢管，壁厚0.8mm±0.1㎜； 2.含材料及安装。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床边护栏：1.尺寸： 站立尺寸 115*40cm； 折叠尺寸 147*15cm； 护栏间距 25cm； 2.材质： 主体材质： 铝合金； 底座材质： 实心钢板； 3.安装方式： 螺丝固定在床板上。 4.配件高度可调。</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床旁扶手：1.底座尺寸：500*600mm（±10），底座厚度：14mm 高度可调：700mm，750mm，800mm（±10） 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 3.产品颜色：采用国际通用颜色灰色，白色或者黄色，可根据客户需求选择颜色。适应性：广泛应用于家庭无障碍改造中。</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凳拐：1、拐杖左右弯管及直管采用高强度特种铝型材焊接而成;.表面经氧化处理。 2、配塑料坐板，可供用户休息。 3、三脚套有耐磨防滑胶脚，让用户用得放心。 4、拐杖头：套有高密度泡沫塑料，柔软、容易清洁、易更换的功能。 5、整架可折叠、可打开当坐椅，方便、节省占用空间。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蹲便改坐便：1.原蹲便台阶拆除、垃圾清运，无地漏加装地漏。 2.安装坐便器 3.原地面拆除后，水泥砂浆找平； 4.柔性防水涂刷2遍，防水翻台与现有墙面砖结合处及排污口处应牢固； 5.地面恢复。</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防潮地胶：采用 PVC 材质地胶， 厚度2mm； 抗菌防霉易清洗，含安装</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防滑地垫：采用 PVC 材质，无异味，韧性佳； 可拼接，定制环境尺寸安装。 采用尺寸： 300*300mm。含安装</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防走失手环：1.定位：GPS+LBS+WiFi定位 2.通话功能：亲情号互拨双向通话 3.4G全网通 4.其他功能：低电报警、SOS报警、心率血压、睡眠监测、视频通话、拍照、语音报时、音乐播放、计步、天气预报、拒接陌生人电话、闹钟、远程关机、历史轨迹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感应小夜灯：1.免布线，超长续航，强磁吸附，USB充电 2.护眼柔光，瞬亮渐熄</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更换坐便器：1.材质：陶瓷，冲水：虹吸，含安装</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轮椅：1、车架:选用高强度钢质管材焊接，表面喷涂处理。 2、座靠垫:采用透气性好，大于400d的帆布。 3、前轮：8寸黑色PVC轮，配合加厚黑色铁前叉，坚固耐用； 4、后轮：22寸免充气黑色橡胶实心胎，耐磨性高，使用寿命长； 5、扶手:固定式扶手； 6、脚踏板：环保PP，强度高，韧性好、可上下调节； 7、刹车：采用手刹及助刹双刹方式，安全便利； 8、整车折叠，体积小，重量轻，便于储存及运输且运输；</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马桶U型落地上翻扶手：1.材质：不锈钢龙骨、不锈钢底座。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无障碍扶手（一字型）小于1米：1.材质：不锈钢龙骨、不锈钢底座。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无障碍扶手（一字型）大于及等于1米：1.材质：不锈钢龙骨、不锈钢底座。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橡胶坡道（高度低于12cm）：1.材质：橡胶，台阶垫，抗压防滑，适用轿车，轮椅，家用车等通过。高度3-19CM，宽度100cm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橡胶坡道（高度12-20cm）：1.材质：橡胶，台阶垫，抗压防滑，适用轿车，轮椅，家用车等通过。高度3-19CM，宽度100cm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橡胶坡道（高度大于20cm）：1.材质：橡胶，台阶垫，抗压防滑，适用轿车，轮椅，家用车等通过。高度3-19CM，宽度100cm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手杖（四角拐）：1、采用高强度氧化铝管上支、A3钢电镀下支、整体防锈能力强。 2、上支、下支冲有调节孔可供使用者随意调节适用高度,管内装有弹珠按钮，轻松一按可徒手轻松调节，伸缩自如，定位安全可靠，伸长量标识清楚； 3、下支四脚管做支撑，扩大受力面积。 4、下支四脚都套有耐磨防滑胶脚，弹性佳，直径不小于13mm。 5、PVC把手不吸汗、不易破损、变形，且使用寿命长。</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无障碍扶手（L型）：1.材质：不锈钢龙骨、不锈钢底座。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洗澡椅：1、车架选用航钛高强度特种铝型材焊接而成.表面氧化处理 2、车架四脚配有伸缩管，可供用户随意调节适用高度。 3、四脚都套有耐磨防滑胶脚</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助行器：1、铝合金氧化车架不仅轻便美观、还具有不退色。 2、车架四脚配有七个档伸缩管，可供使用者随意调节适用高度。 3、四脚都套有防滑耐磨胶脚，有弹性,让用户用得放心。 4、PVC把手：PVC把手不吸汗、不易破损、变形，且使用寿命长 5、可折叠式车型方便携带出行，且能节省占用空间位置。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标的名称：适老化改造及老年用品配置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安装坐便器： 1.材质：优质陶瓷，冲水：虹吸，含安装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不锈钢落地扶手： 1.面管最大直径50mm，SUS201不锈钢管，壁厚0.8mm±0.1㎜； 2.含材料及安装。</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床边护栏 1.尺寸： 站立尺寸 115*40cm； 折叠尺寸 147*15cm； 护栏间距 25cm； 2.材质： 主体材质： 铝合金； 底座材质： 实心钢板； 3.安装方式： 螺丝固定在床板上。 4.配件高度可调。</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床旁扶手： 1.底座尺寸：500*600mm（±10），底座厚度：14mm 高度可调：700mm，750mm，800mm（±10） 2.产品结构：采用彩色尼龙和不锈钢管复合而成或者为钢龙骨表面烤漆处理，产品主要特点是：使用环保标准，抗老化，耐腐蚀，耐火，抗菌性强的尼龙材料，其直径为35毫米，内衬不锈钢管直径28毫米复合而成，0.5毫米厚的防滑浮点式设计，用于老人防滑，更安全。 3.产品颜色：采用国际通用颜色灰色，白色或者黄色，可根据客户需求选择颜色。适应性：广泛应用于家庭无障碍改造中。</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凳拐： 1、拐杖左右弯管及直管采用高强度特种铝型材焊接而成;.表面经氧化处理。 2、配塑料坐板，可供用户休息。 3、三脚套有耐磨防滑胶脚，让用户用得放心。 4、拐杖头：套有高密度泡沫塑料，柔软、容易清洁、易更换的功能。 5、整架可折叠、可打开当坐椅，方便、节省占用空间。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蹲便改坐便： 1.原蹲便台阶拆除、垃圾清运，无地漏加装地漏。 2.安装坐便器 3.原地面拆除后，水泥砂浆找平； 4.柔性防水涂刷2遍，防水翻台与现有墙面砖结合处及排污口处应牢固； 5.地面恢复。</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防潮地胶： 采用 PVC 材质地胶， 厚度2mm； 抗菌防霉易清洗，含安装</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防滑地垫： 采用 PVC 材质，无异味，韧性佳； 可拼接，定制环境尺寸安装。 采用尺寸： 300*300mm。含安装</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感应小夜灯： 1.免布线，超长续航，强磁吸附，USB充电 2.护眼柔光，瞬亮渐熄</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轮椅： 1、车架:选用高强度钢质管材焊接，表面喷涂处理。 2、座靠垫:采用透气性好，大于400d的帆布。 3、前轮：8寸黑色PVC轮，配合加厚黑色铁前叉，坚固耐用； 4、后轮：22寸免充气黑色橡胶实心胎，耐磨性高，使用寿命长； 5、扶手:固定式扶手； 6、脚踏板：环保PP，强度高，韧性好、可上下调节； 7、刹车：采用手刹及助刹双刹方式，安全便利； 8、整车折叠，体积小，重量轻，便于储存及运输且运输；</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马桶U型落地上翻扶手：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水泥坡道： 1.普通硅酸盐水泥，中粗砂。 2.浇筑混凝土垫层，干硬砂浆一道；</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无障碍扶手（一字型）小于1米：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无障碍扶手（一字型）大于及等于1米：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手杖（四角拐）：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无障碍扶手（L型）： 1.材质：不锈钢龙骨、不锈钢底座。 2.内衬龙骨：不锈钢¢28管，两头不锈钢垫片满焊处理。 3.外层材料：采用Φ35*3.5mm纯黄色或者纯白色ABS或者尼龙原装环保料，不能是米白色或者米黄色回收料生产，外表面防滑颗粒，并且面管两端人工倒角，使用中安全舒话避免划伤。</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洗澡椅： 1、车架选用航钛高强度特种铝型材焊接而成.表面氧化处理 2、车架四脚配有伸缩管，可供用户随意调节适用高度。 3、四脚都套有耐磨防滑胶脚</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橡胶坡道（高度低于12cm）： 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橡胶坡道（高度12-20cm）： 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橡胶坡道（高度大于20cm）： 1.材质：橡胶，台阶垫，抗压防滑，适用轿车，轮椅，家用车等通过。高度3-19CM，宽度100cm</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助行器： 1、铝合金氧化车架不仅轻便美观、还具有不退色。 2、车架四脚配有七个档伸缩管，可供使用者随意调节适用高度。 3、四脚都套有防滑耐磨胶脚，有弹性,让用户用得放心。 4、PVC把手：PVC把手不吸汗、不易破损、变形，且使用寿命长 5、可折叠式车型方便携带出行，且能节省占用空间位置。</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走水： 1.水管材质：PPR热熔管,Ф20. 2.含人工安装、管件、弯头、截止阀等辅材</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测量员1名；辅助技术工程师（肢体方向）1名；康复理疗师1名；老年人能力评估师1名；技术员1名；施工员1名，以上人员需提供岗位证书或职业/执业证书等证明材料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测量员1名；辅助技术工程师（肢体方向）1名；康复理疗师1名；老年人能力评估师1名；技术员1名；施工员1名，以上人员需提供岗位证书或职业/执业证书等证明材料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服务内容必须与服务清单内要求数量或质量要求一致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服务内容必须与服务清单内要求数量或质量要求一致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达到国家相关验收合格标准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项目结算审计结束后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项目结算审计后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因违约或终止合同而引起的损失和损害的赔偿，委托单位与供应商之间应当协商解决;如未能达成一致，协商或调解不成的，根据双方约定提交仲裁，或向项目所在地人民法院提起诉讼。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因违约或终止合同而引起的损失和损害的赔偿，委托单位与供应商之间应当协商解决;如未能达成一致，协商或调解不成的，根据双方约定提交仲裁，或向项目所在地人民法院提起诉讼。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财务审计资质单位出具的2024年度的财务报告(成立时间至磋商时间不足一年的可提供成立后任意时段的资产负债表)或磋商前六个月内其基本账户银行出具的资信证明(附开户许可证或基本账户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财务审计资质单位出具的2024年度的财务报告(成立时间至磋商时间不足一年的可提供成立后任意时段的资产负债表)或磋商前六个月内其基本账户银行出具的资信证明(附开户许可证或基本账户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政府采购供应商基本资格条件承诺函.docx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www.creditchina.gov.cn)，也未列入中国政府采购网“政府采购严重违法失信行为记录名单"中www.ccgp.gov.cn)，供应商应按照汉中市财政局《关于全面推行政府采购供应商基本资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政府采购供应商基本资格条件承诺函.docx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对供应商提交响应文件的服务内容及服务邀请应答表进行审核，不允许偏离参数不得出现偏离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文件要求签字盖章部分是否签章完整</w:t>
            </w:r>
          </w:p>
        </w:tc>
        <w:tc>
          <w:tcPr>
            <w:tcW w:type="dxa" w:w="1661"/>
          </w:tcPr>
          <w:p>
            <w:pPr>
              <w:pStyle w:val="null3"/>
            </w:pPr>
            <w:r>
              <w:rPr>
                <w:rFonts w:ascii="仿宋_GB2312" w:hAnsi="仿宋_GB2312" w:cs="仿宋_GB2312" w:eastAsia="仿宋_GB2312"/>
              </w:rPr>
              <w:t>响应文件封面 服务内容及服务邀请应答表 中小企业声明函 商务应答表 政府采购供应商基本资格条件承诺函.docx 供应商应提交的相关资格证明材料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对供应商提交响应文件的服务内容及服务邀请应答表进行审核，不允许偏离参数不得出现偏离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 xml:space="preserve"> 文件要求签字盖章部分是否签章完整</w:t>
            </w:r>
          </w:p>
        </w:tc>
        <w:tc>
          <w:tcPr>
            <w:tcW w:type="dxa" w:w="1661"/>
          </w:tcPr>
          <w:p>
            <w:pPr>
              <w:pStyle w:val="null3"/>
            </w:pPr>
            <w:r>
              <w:rPr>
                <w:rFonts w:ascii="仿宋_GB2312" w:hAnsi="仿宋_GB2312" w:cs="仿宋_GB2312" w:eastAsia="仿宋_GB2312"/>
              </w:rPr>
              <w:t>响应文件封面 服务内容及服务邀请应答表 中小企业声明函 商务应答表 政府采购供应商基本资格条件承诺函.docx 供应商应提交的相关资格证明材料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详细评审81.00分</w:t>
            </w:r>
          </w:p>
          <w:p>
            <w:pPr>
              <w:pStyle w:val="null3"/>
            </w:pPr>
            <w:r>
              <w:rPr>
                <w:rFonts w:ascii="仿宋_GB2312" w:hAnsi="仿宋_GB2312" w:cs="仿宋_GB2312" w:eastAsia="仿宋_GB2312"/>
              </w:rPr>
              <w:t>报价得分19.00分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针对本项目提供的项目实施方案包括：①整体设想和规划，②总体监管方案，③对项目重点难点的分析，④服务质量管理方案，⑤应急处置方案，根据投标人提供的方案进行综合评审，相应内容全面、合理且符合项目实际情况的得40分；每有一项内容缺失或存在重大缺陷或内容与本项目无关的扣8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履约能力(组织机构设置）</w:t>
            </w:r>
          </w:p>
        </w:tc>
        <w:tc>
          <w:tcPr>
            <w:tcW w:type="dxa" w:w="2492"/>
          </w:tcPr>
          <w:p>
            <w:pPr>
              <w:pStyle w:val="null3"/>
            </w:pPr>
            <w:r>
              <w:rPr>
                <w:rFonts w:ascii="仿宋_GB2312" w:hAnsi="仿宋_GB2312" w:cs="仿宋_GB2312" w:eastAsia="仿宋_GB2312"/>
              </w:rPr>
              <w:t>根据供应商针对本项目提供的机构运作及管理制度包括：①管理机构运行图、机构设置和职能运行设置方案，②项目负责人职责、内部管理职责分工方案，③各项服务内容人员配备方案；④项目服务期间及后续维护保养人员配备方案；根据投标人提供的方案进行综合评审，相应内容全面、合理且符合项目实际情况的得16分；每有一项内容缺失或存在重大缺陷或内容与本项目无关的扣4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确保服务期完成服务内容的方案</w:t>
            </w:r>
          </w:p>
        </w:tc>
        <w:tc>
          <w:tcPr>
            <w:tcW w:type="dxa" w:w="2492"/>
          </w:tcPr>
          <w:p>
            <w:pPr>
              <w:pStyle w:val="null3"/>
            </w:pPr>
            <w:r>
              <w:rPr>
                <w:rFonts w:ascii="仿宋_GB2312" w:hAnsi="仿宋_GB2312" w:cs="仿宋_GB2312" w:eastAsia="仿宋_GB2312"/>
              </w:rPr>
              <w:t>提供本项目服务进度计划方案，包括①有清晰合理的时间计划措施方案②具有详细明确的实施进度计划表；根据投标人提供的方案进行综合评审，相应内容全面、合理且符合项目实际情况得6分；每有一项内容缺失或存在重大缺陷或内容与本项目无关的扣3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投标人针对本项目，做出优化服务等方面的承诺（包含但不限于设施质量承诺，所提供货物或设备及辅材必须是未使用过的新产品、渠道正当的承诺，后续服务维护的承诺）每出具一个得3分，不出具不得分。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2022年 9月以来完成的同类项目合同（以合同签订日期为准），每个2分，最多计10分。提供合同复印件并加盖公章。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价格评分满分为19分，以实质性满足招标文件要求的最低投标价格为基准值，投标报价得分=(评标基准价/投标报价)x19</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详细评审81.00分</w:t>
            </w:r>
          </w:p>
          <w:p>
            <w:pPr>
              <w:pStyle w:val="null3"/>
            </w:pPr>
            <w:r>
              <w:rPr>
                <w:rFonts w:ascii="仿宋_GB2312" w:hAnsi="仿宋_GB2312" w:cs="仿宋_GB2312" w:eastAsia="仿宋_GB2312"/>
              </w:rPr>
              <w:t>报价得分19.00分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针对本项目提供的项目实施方案包括：①整体设想和规划，②总体监管方案，③对项目重点难点的分析，④服务质量管理方案，⑤应急处置方案，根据投标人提供的方案进行综合评审，相应内容全面、合理且符合项目实际情况的得40分；每有一项内容缺失或存在重大缺陷或内容与本项目无关的扣8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 (组织机构设置）</w:t>
            </w:r>
          </w:p>
        </w:tc>
        <w:tc>
          <w:tcPr>
            <w:tcW w:type="dxa" w:w="2492"/>
          </w:tcPr>
          <w:p>
            <w:pPr>
              <w:pStyle w:val="null3"/>
            </w:pPr>
            <w:r>
              <w:rPr>
                <w:rFonts w:ascii="仿宋_GB2312" w:hAnsi="仿宋_GB2312" w:cs="仿宋_GB2312" w:eastAsia="仿宋_GB2312"/>
              </w:rPr>
              <w:t>根据供应商针对本项目提供的机构运作及管理制度包括：①管理机构运行图、机构设置和职能运行设置方案，②项目负责人职责、内部管理职责分工方案，③各项服务内容人员配备方案；④项目服务期间及后续维护保养人员配备方案；根据投标人提供的方案进行综合评审，相应内容全面、合理且符合项目实际情况的得16分；每有一项内容缺失或存在重大缺陷或内容与本项目无关的扣4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确保服务期完成服务内容的方案</w:t>
            </w:r>
          </w:p>
        </w:tc>
        <w:tc>
          <w:tcPr>
            <w:tcW w:type="dxa" w:w="2492"/>
          </w:tcPr>
          <w:p>
            <w:pPr>
              <w:pStyle w:val="null3"/>
            </w:pPr>
            <w:r>
              <w:rPr>
                <w:rFonts w:ascii="仿宋_GB2312" w:hAnsi="仿宋_GB2312" w:cs="仿宋_GB2312" w:eastAsia="仿宋_GB2312"/>
              </w:rPr>
              <w:t>提供本项目服务进度计划方案，包括①有清晰合理的时间计划措施方案②具有详细明确的实施进度计划表；根据投标人提供的方案进行综合评审，相应内容全面、合理且符合项目实际情况得6分；每有一项内容缺失或存在重大缺陷或内容与本项目无关的扣3分；每有一项内容简略或针对性不强或不完全满足项目要求的扣1分，扣完为止。 注：内容简略或针对性不强或不完全满足项目要求指：方案内容不切合行业实际、不符合行业政策；或方案内容生搬硬造，与实际情况不符，存在偏差；或方案内容过于简略；或存在与项目无关的文字内容；或内容不适用项目实际情况；或内容逻辑漏洞或原理错误；或方案中内容前后不一致、前后逻辑错误、涉及的规范及标准错误；或方案中存在地点区域、项目名称错误及不符合项目实际情况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投标人针对本项目，做出优化服务等方面的承诺（包含但不限于设施质量承诺，所提供货物或设备及辅材必须是未使用过的新产品、渠道正当的承诺，后续服务维护的承诺）每出具一个得3分，不出具不得分。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投标人提供 2022年 9月以来完成的同类项目合同（以合同签订日期为准），每个2分，最多计10分。提供合同复印件并加盖公章。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价格评分满分为19分，以实质性满足招标文件要求的最低投标价格为基准值，投标报价得分=(评标基准价/投标报价)x19</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详见附件：政府采购供应商基本资格条件承诺函.docx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详见附件：政府采购供应商基本资格条件承诺函.docx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