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版本号：西采XC2025--26号20250903001</w:t>
      </w:r>
      <w:r>
        <w:br/>
      </w:r>
      <w:r>
        <w:br/>
      </w:r>
      <w:r>
        <w:br/>
      </w:r>
      <w:r>
        <w:br/>
      </w:r>
      <w:r>
        <w:br/>
      </w:r>
    </w:p>
    <w:p>
      <w:pPr>
        <w:pStyle w:val="null3"/>
        <w:jc w:val="center"/>
        <w:outlineLvl w:val="0"/>
      </w:pPr>
      <w:r>
        <w:rPr>
          <w:rFonts w:ascii="仿宋_GB2312" w:hAnsi="仿宋_GB2312" w:cs="仿宋_GB2312" w:eastAsia="仿宋_GB2312"/>
          <w:sz w:val="48"/>
          <w:b/>
        </w:rPr>
        <w:t>招 标 文 件</w:t>
      </w:r>
      <w:r>
        <w:br/>
      </w:r>
      <w:r>
        <w:br/>
      </w:r>
      <w:r>
        <w:br/>
      </w:r>
    </w:p>
    <w:p>
      <w:pPr>
        <w:pStyle w:val="null3"/>
        <w:jc w:val="center"/>
        <w:outlineLvl w:val="1"/>
      </w:pPr>
      <w:r>
        <w:rPr>
          <w:rFonts w:ascii="仿宋_GB2312" w:hAnsi="仿宋_GB2312" w:cs="仿宋_GB2312" w:eastAsia="仿宋_GB2312"/>
          <w:sz w:val="36"/>
          <w:b/>
        </w:rPr>
        <w:t>（货物类）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宿舍楼设备购置项目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西采XC2025--26号</w:t>
      </w:r>
      <w:r>
        <w:br/>
      </w:r>
      <w:r>
        <w:br/>
      </w:r>
      <w:r>
        <w:br/>
      </w:r>
    </w:p>
    <w:p>
      <w:pPr>
        <w:pStyle w:val="null3"/>
        <w:jc w:val="center"/>
        <w:outlineLvl w:val="2"/>
      </w:pPr>
      <w:r>
        <w:rPr>
          <w:rFonts w:ascii="仿宋_GB2312" w:hAnsi="仿宋_GB2312" w:cs="仿宋_GB2312" w:eastAsia="仿宋_GB2312"/>
          <w:sz w:val="28"/>
          <w:b/>
        </w:rPr>
        <w:t>西乡县第四中学</w:t>
      </w:r>
    </w:p>
    <w:p>
      <w:pPr>
        <w:pStyle w:val="null3"/>
        <w:jc w:val="center"/>
        <w:outlineLvl w:val="2"/>
      </w:pPr>
      <w:r>
        <w:rPr>
          <w:rFonts w:ascii="仿宋_GB2312" w:hAnsi="仿宋_GB2312" w:cs="仿宋_GB2312" w:eastAsia="仿宋_GB2312"/>
          <w:sz w:val="28"/>
          <w:b/>
        </w:rPr>
        <w:t>西乡县政府采购预算评审中心</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2025年09月03日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ind w:firstLine="480"/>
      </w:pPr>
      <w:r>
        <w:rPr>
          <w:rFonts w:ascii="仿宋_GB2312" w:hAnsi="仿宋_GB2312" w:cs="仿宋_GB2312" w:eastAsia="仿宋_GB2312"/>
        </w:rPr>
        <w:t>西乡县政府采购预算评审中心</w:t>
      </w:r>
      <w:r>
        <w:rPr>
          <w:rFonts w:ascii="仿宋_GB2312" w:hAnsi="仿宋_GB2312" w:cs="仿宋_GB2312" w:eastAsia="仿宋_GB2312"/>
        </w:rPr>
        <w:t>（以下简称“代理机构”）受</w:t>
      </w:r>
      <w:r>
        <w:rPr>
          <w:rFonts w:ascii="仿宋_GB2312" w:hAnsi="仿宋_GB2312" w:cs="仿宋_GB2312" w:eastAsia="仿宋_GB2312"/>
        </w:rPr>
        <w:t>西乡县第四中学</w:t>
      </w:r>
      <w:r>
        <w:rPr>
          <w:rFonts w:ascii="仿宋_GB2312" w:hAnsi="仿宋_GB2312" w:cs="仿宋_GB2312" w:eastAsia="仿宋_GB2312"/>
        </w:rPr>
        <w:t>委托，拟对</w:t>
      </w:r>
      <w:r>
        <w:rPr>
          <w:rFonts w:ascii="仿宋_GB2312" w:hAnsi="仿宋_GB2312" w:cs="仿宋_GB2312" w:eastAsia="仿宋_GB2312"/>
        </w:rPr>
        <w:t>宿舍楼设备购置项目</w:t>
      </w:r>
      <w:r>
        <w:rPr>
          <w:rFonts w:ascii="仿宋_GB2312" w:hAnsi="仿宋_GB2312" w:cs="仿宋_GB2312" w:eastAsia="仿宋_GB2312"/>
        </w:rPr>
        <w:t>进行国内公开招标，兹邀请符合本次招标要求的供应商参加投标。</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西采XC2025--26号</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宿舍楼设备购置项目</w:t>
      </w:r>
    </w:p>
    <w:p>
      <w:pPr>
        <w:pStyle w:val="null3"/>
        <w:outlineLvl w:val="2"/>
      </w:pPr>
      <w:r>
        <w:rPr>
          <w:rFonts w:ascii="仿宋_GB2312" w:hAnsi="仿宋_GB2312" w:cs="仿宋_GB2312" w:eastAsia="仿宋_GB2312"/>
          <w:sz w:val="28"/>
          <w:b/>
        </w:rPr>
        <w:t>三、招标项目简介</w:t>
      </w:r>
    </w:p>
    <w:p>
      <w:pPr>
        <w:pStyle w:val="null3"/>
        <w:ind w:firstLine="480"/>
      </w:pPr>
      <w:r>
        <w:rPr>
          <w:rFonts w:ascii="仿宋_GB2312" w:hAnsi="仿宋_GB2312" w:cs="仿宋_GB2312" w:eastAsia="仿宋_GB2312"/>
        </w:rPr>
        <w:t>为改善西乡县第四中学学生住宿条件和生活环境，拟采购双层床（含床板、床底鞋架）350架、床垫700张，储物柜256个，宿舍窗帘128套，饮水机5台，1.5P空调60台。促使学校环境和宿舍条件进一步改善。</w:t>
      </w:r>
    </w:p>
    <w:p>
      <w:pPr>
        <w:pStyle w:val="null3"/>
        <w:outlineLvl w:val="2"/>
      </w:pPr>
      <w:r>
        <w:rPr>
          <w:rFonts w:ascii="仿宋_GB2312" w:hAnsi="仿宋_GB2312" w:cs="仿宋_GB2312" w:eastAsia="仿宋_GB2312"/>
          <w:sz w:val="28"/>
          <w:b/>
        </w:rPr>
        <w:t>四、供应商参加本次政府采购活动应具备的条件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1.执行政府采购促进中小企业发展的相关政策</w:t>
      </w:r>
    </w:p>
    <w:p>
      <w:pPr>
        <w:pStyle w:val="null3"/>
      </w:pPr>
      <w:r>
        <w:rPr>
          <w:rFonts w:ascii="仿宋_GB2312" w:hAnsi="仿宋_GB2312" w:cs="仿宋_GB2312" w:eastAsia="仿宋_GB2312"/>
        </w:rPr>
        <w:t>采购包2（宿舍楼设备购置合同包2）：属于专门面向中小企业采购。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1、供应商资格承诺函：投标人出具合法有效的供应商资格承诺函</w:t>
      </w:r>
    </w:p>
    <w:p>
      <w:pPr>
        <w:pStyle w:val="null3"/>
      </w:pPr>
      <w:r>
        <w:rPr>
          <w:rFonts w:ascii="仿宋_GB2312" w:hAnsi="仿宋_GB2312" w:cs="仿宋_GB2312" w:eastAsia="仿宋_GB2312"/>
        </w:rPr>
        <w:t>2、法定代表人身份证明书或法定代表人授权委托书：法定代表人参加征集活动的，须提供法定代表人身份证明书；法定代表人授权代表参加征集活动的，须提供法定代表人授权委托书。</w:t>
      </w:r>
    </w:p>
    <w:p>
      <w:pPr>
        <w:pStyle w:val="null3"/>
      </w:pPr>
      <w:r>
        <w:rPr>
          <w:rFonts w:ascii="仿宋_GB2312" w:hAnsi="仿宋_GB2312" w:cs="仿宋_GB2312" w:eastAsia="仿宋_GB2312"/>
        </w:rPr>
        <w:t>3、控股管理关系说明：单位负责人为同一人或存在直接控股、管理关系的不同供应商，不得参加同一项目的政府采购活动；为本项目提供整体设计、规范编制或项目管理、监理、检测等服务的供应商，不得再参加本项目的其他采购活动。</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1、供应商资格承诺函：投标人出具合法有效的供应商资格承诺函</w:t>
      </w:r>
    </w:p>
    <w:p>
      <w:pPr>
        <w:pStyle w:val="null3"/>
      </w:pPr>
      <w:r>
        <w:rPr>
          <w:rFonts w:ascii="仿宋_GB2312" w:hAnsi="仿宋_GB2312" w:cs="仿宋_GB2312" w:eastAsia="仿宋_GB2312"/>
        </w:rPr>
        <w:t>2、法定代表人身份证明书或法定代表人授权委托书：法定代表人参加征集活动的，须提供法定代表人身份证明书；法定代表人授权代表参加征集活动的，须提供法定代表人授权委托书。</w:t>
      </w:r>
    </w:p>
    <w:p>
      <w:pPr>
        <w:pStyle w:val="null3"/>
      </w:pPr>
      <w:r>
        <w:rPr>
          <w:rFonts w:ascii="仿宋_GB2312" w:hAnsi="仿宋_GB2312" w:cs="仿宋_GB2312" w:eastAsia="仿宋_GB2312"/>
        </w:rPr>
        <w:t>3、控股管理关系说明：单位负责人为同一人或存在直接控股、管理关系的不同供应商，不得参加同一项目的政府采购活动；为本项目提供整体设计、规范编制或项目管理、监理、检测等服务的供应商，不得再参加本项目的其他采购活动。</w:t>
      </w:r>
    </w:p>
    <w:p>
      <w:pPr>
        <w:pStyle w:val="null3"/>
        <w:outlineLvl w:val="2"/>
      </w:pPr>
      <w:r>
        <w:rPr>
          <w:rFonts w:ascii="仿宋_GB2312" w:hAnsi="仿宋_GB2312" w:cs="仿宋_GB2312" w:eastAsia="仿宋_GB2312"/>
          <w:sz w:val="28"/>
          <w:b/>
        </w:rPr>
        <w:t>五、电子化采购相关事项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六、招标文件获取时间、方式及地址</w:t>
      </w:r>
    </w:p>
    <w:p>
      <w:pPr>
        <w:pStyle w:val="null3"/>
        <w:ind w:firstLine="480"/>
      </w:pPr>
      <w:r>
        <w:rPr>
          <w:rFonts w:ascii="仿宋_GB2312" w:hAnsi="仿宋_GB2312" w:cs="仿宋_GB2312" w:eastAsia="仿宋_GB2312"/>
        </w:rPr>
        <w:t>（一）招标文件获取时间：详见采购公告</w:t>
      </w:r>
    </w:p>
    <w:p>
      <w:pPr>
        <w:pStyle w:val="null3"/>
        <w:ind w:firstLine="480"/>
      </w:pPr>
      <w:r>
        <w:rPr>
          <w:rFonts w:ascii="仿宋_GB2312" w:hAnsi="仿宋_GB2312" w:cs="仿宋_GB2312" w:eastAsia="仿宋_GB2312"/>
        </w:rPr>
        <w:t xml:space="preserve"> （二）在招标文件获取开始时间前，采购人或代理机构将本项目招标文件上传至项目电子化交易系统，向供应商提供。供应商通过项目电子化交易系统获取招标文件。成功获取招标文件的，供应商将收到已获取招标文件的回执函。未成功获取招标文件的供应商，不得参与本次采购活动，不得对招标文件提起质疑。</w:t>
      </w:r>
    </w:p>
    <w:p>
      <w:pPr>
        <w:pStyle w:val="null3"/>
        <w:ind w:firstLine="480"/>
      </w:pPr>
      <w:r>
        <w:rPr>
          <w:rFonts w:ascii="仿宋_GB2312" w:hAnsi="仿宋_GB2312" w:cs="仿宋_GB2312" w:eastAsia="仿宋_GB2312"/>
        </w:rPr>
        <w:t xml:space="preserve"> 成功获取招标文件后，采购人或代理机构进行澄清或者修改的，澄清或者修改的内容可能影响投标文件编制的，采购人或代理机构将通过项目电子化交易系统发布澄清或者修改后的招标文件，供应商应当重新获取招标文件；澄清或者修改后的招标文件发布日期距提交投标文件截止日期不足15日的，采购人或代理机构顺延提交投标文件的截止时间。供应商未重新获取招标文件或者未按照澄清或者修改后的招标文件编制投标文件进行投标的，自行承担不利后果。</w:t>
      </w:r>
    </w:p>
    <w:p>
      <w:pPr>
        <w:pStyle w:val="null3"/>
        <w:jc w:val="left"/>
      </w:pPr>
      <w:r>
        <w:rPr>
          <w:rFonts w:ascii="仿宋_GB2312" w:hAnsi="仿宋_GB2312" w:cs="仿宋_GB2312" w:eastAsia="仿宋_GB2312"/>
        </w:rPr>
        <w:t>注：获取的招标文件主体格式包括pdf、word两种格式版本，其中以pdf格式为准。</w:t>
      </w:r>
    </w:p>
    <w:p>
      <w:pPr>
        <w:pStyle w:val="null3"/>
        <w:outlineLvl w:val="2"/>
      </w:pPr>
      <w:r>
        <w:rPr>
          <w:rFonts w:ascii="仿宋_GB2312" w:hAnsi="仿宋_GB2312" w:cs="仿宋_GB2312" w:eastAsia="仿宋_GB2312"/>
          <w:sz w:val="28"/>
          <w:b/>
        </w:rPr>
        <w:t>七、投标文件提交截止时间及开标时间、地点、方式</w:t>
      </w:r>
    </w:p>
    <w:p>
      <w:pPr>
        <w:pStyle w:val="null3"/>
        <w:ind w:firstLine="480"/>
      </w:pPr>
      <w:r>
        <w:rPr>
          <w:rFonts w:ascii="仿宋_GB2312" w:hAnsi="仿宋_GB2312" w:cs="仿宋_GB2312" w:eastAsia="仿宋_GB2312"/>
        </w:rPr>
        <w:t>（一）投标文件提交截止时间及开标时间：详见采购公告</w:t>
      </w:r>
    </w:p>
    <w:p>
      <w:pPr>
        <w:pStyle w:val="null3"/>
        <w:ind w:firstLine="480"/>
      </w:pPr>
      <w:r>
        <w:rPr>
          <w:rFonts w:ascii="仿宋_GB2312" w:hAnsi="仿宋_GB2312" w:cs="仿宋_GB2312" w:eastAsia="仿宋_GB2312"/>
        </w:rPr>
        <w:t xml:space="preserve"> （二）投标文件提交方式、地点：供应商应当在投标文件提交截止时间前，通过项目电子化交易系统提交投标文件。成功提交的，供应商将收到已提交投标文件的回执函。</w:t>
      </w:r>
    </w:p>
    <w:p>
      <w:pPr>
        <w:pStyle w:val="null3"/>
        <w:ind w:firstLine="480"/>
      </w:pPr>
      <w:r>
        <w:rPr>
          <w:rFonts w:ascii="仿宋_GB2312" w:hAnsi="仿宋_GB2312" w:cs="仿宋_GB2312" w:eastAsia="仿宋_GB2312"/>
        </w:rPr>
        <w:t>（三）本项目采取网上开标，即采购人或代理机构通过项目电子化交易系统“开标/开启大厅”组织在线开标。</w:t>
      </w:r>
    </w:p>
    <w:p>
      <w:pPr>
        <w:pStyle w:val="null3"/>
        <w:outlineLvl w:val="2"/>
      </w:pPr>
      <w:r>
        <w:rPr>
          <w:rFonts w:ascii="仿宋_GB2312" w:hAnsi="仿宋_GB2312" w:cs="仿宋_GB2312" w:eastAsia="仿宋_GB2312"/>
          <w:sz w:val="28"/>
          <w:b/>
        </w:rPr>
        <w:t>八、本投标邀请在陕西省政府采购网以公告形式发布</w:t>
      </w:r>
    </w:p>
    <w:p>
      <w:pPr>
        <w:pStyle w:val="null3"/>
        <w:outlineLvl w:val="2"/>
      </w:pPr>
      <w:r>
        <w:rPr>
          <w:rFonts w:ascii="仿宋_GB2312" w:hAnsi="仿宋_GB2312" w:cs="仿宋_GB2312" w:eastAsia="仿宋_GB2312"/>
          <w:sz w:val="28"/>
          <w:b/>
        </w:rPr>
        <w:t>九、供应商信用融资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十、联系方式</w:t>
      </w:r>
    </w:p>
    <w:p>
      <w:pPr>
        <w:pStyle w:val="null3"/>
        <w:outlineLvl w:val="2"/>
      </w:pPr>
      <w:r>
        <w:rPr>
          <w:rFonts w:ascii="仿宋_GB2312" w:hAnsi="仿宋_GB2312" w:cs="仿宋_GB2312" w:eastAsia="仿宋_GB2312"/>
          <w:sz w:val="28"/>
          <w:b/>
        </w:rPr>
        <w:t xml:space="preserve">采购人： </w:t>
      </w:r>
      <w:r>
        <w:rPr>
          <w:rFonts w:ascii="仿宋_GB2312" w:hAnsi="仿宋_GB2312" w:cs="仿宋_GB2312" w:eastAsia="仿宋_GB2312"/>
          <w:sz w:val="28"/>
          <w:b/>
        </w:rPr>
        <w:t>西乡县第四中学</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西乡县城街道办五渠村</w:t>
      </w:r>
    </w:p>
    <w:p>
      <w:pPr>
        <w:pStyle w:val="null3"/>
      </w:pPr>
      <w:r>
        <w:rPr>
          <w:rFonts w:ascii="仿宋_GB2312" w:hAnsi="仿宋_GB2312" w:cs="仿宋_GB2312" w:eastAsia="仿宋_GB2312"/>
        </w:rPr>
        <w:t xml:space="preserve"> 邮编： </w:t>
      </w:r>
      <w:r>
        <w:rPr>
          <w:rFonts w:ascii="仿宋_GB2312" w:hAnsi="仿宋_GB2312" w:cs="仿宋_GB2312" w:eastAsia="仿宋_GB2312"/>
        </w:rPr>
        <w:t>723500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胡老师</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13571688098</w:t>
      </w:r>
    </w:p>
    <w:p>
      <w:pPr>
        <w:pStyle w:val="null3"/>
        <w:outlineLvl w:val="2"/>
      </w:pPr>
      <w:r>
        <w:rPr>
          <w:rFonts w:ascii="仿宋_GB2312" w:hAnsi="仿宋_GB2312" w:cs="仿宋_GB2312" w:eastAsia="仿宋_GB2312"/>
          <w:sz w:val="28"/>
          <w:b/>
        </w:rPr>
        <w:t>代理机构：</w:t>
      </w:r>
      <w:r>
        <w:rPr>
          <w:rFonts w:ascii="仿宋_GB2312" w:hAnsi="仿宋_GB2312" w:cs="仿宋_GB2312" w:eastAsia="仿宋_GB2312"/>
          <w:sz w:val="28"/>
          <w:b/>
        </w:rPr>
        <w:t>西乡县政府采购预算评审中心</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西乡县文昌路财政局</w:t>
      </w:r>
    </w:p>
    <w:p>
      <w:pPr>
        <w:pStyle w:val="null3"/>
      </w:pPr>
      <w:r>
        <w:rPr>
          <w:rFonts w:ascii="仿宋_GB2312" w:hAnsi="仿宋_GB2312" w:cs="仿宋_GB2312" w:eastAsia="仿宋_GB2312"/>
        </w:rPr>
        <w:t xml:space="preserve"> 邮编： </w:t>
      </w:r>
      <w:r>
        <w:rPr>
          <w:rFonts w:ascii="仿宋_GB2312" w:hAnsi="仿宋_GB2312" w:cs="仿宋_GB2312" w:eastAsia="仿宋_GB2312"/>
        </w:rPr>
        <w:t>723500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胡老师</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0916--6229135</w:t>
      </w:r>
    </w:p>
    <w:p>
      <w:pPr>
        <w:pStyle w:val="null3"/>
        <w:outlineLvl w:val="2"/>
      </w:pPr>
      <w:r>
        <w:rPr>
          <w:rFonts w:ascii="仿宋_GB2312" w:hAnsi="仿宋_GB2312" w:cs="仿宋_GB2312" w:eastAsia="仿宋_GB2312"/>
          <w:sz w:val="28"/>
          <w:b/>
        </w:rPr>
        <w:t>采购监督机构：</w:t>
      </w:r>
      <w:r>
        <w:rPr>
          <w:rFonts w:ascii="仿宋_GB2312" w:hAnsi="仿宋_GB2312" w:cs="仿宋_GB2312" w:eastAsia="仿宋_GB2312"/>
          <w:sz w:val="28"/>
          <w:b/>
        </w:rPr>
        <w:t>西乡县财政局综合股</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华老师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0916--8151150</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outlineLvl w:val="2"/>
      </w:pPr>
      <w:r>
        <w:rPr>
          <w:rFonts w:ascii="仿宋_GB2312" w:hAnsi="仿宋_GB2312" w:cs="仿宋_GB2312" w:eastAsia="仿宋_GB2312"/>
          <w:sz w:val="28"/>
          <w:b/>
        </w:rPr>
        <w:t>2.1投标人须知前附表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采购包1：150,000.00元</w:t>
            </w:r>
          </w:p>
          <w:p>
            <w:pPr>
              <w:pStyle w:val="null3"/>
            </w:pPr>
            <w:r>
              <w:rPr>
                <w:rFonts w:ascii="仿宋_GB2312" w:hAnsi="仿宋_GB2312" w:cs="仿宋_GB2312" w:eastAsia="仿宋_GB2312"/>
              </w:rPr>
              <w:t>采购包2：821,000.00元</w:t>
            </w:r>
            <w:r>
              <w:rPr>
                <w:rFonts w:ascii="仿宋_GB2312" w:hAnsi="仿宋_GB2312" w:cs="仿宋_GB2312" w:eastAsia="仿宋_GB2312"/>
              </w:rPr>
              <w:t xml:space="preserve"> 投标人的采购包投标报价高于采购包采购预算的，其投标文件将按无效处理。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投标人的采购包投标报价高于最高限价的，其投标文件将按无效处理。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评标方法</w:t>
            </w:r>
          </w:p>
        </w:tc>
        <w:tc>
          <w:tcPr>
            <w:tcW w:type="dxa" w:w="5004"/>
          </w:tcPr>
          <w:p>
            <w:pPr>
              <w:pStyle w:val="null3"/>
            </w:pPr>
            <w:r>
              <w:rPr>
                <w:rFonts w:ascii="仿宋_GB2312" w:hAnsi="仿宋_GB2312" w:cs="仿宋_GB2312" w:eastAsia="仿宋_GB2312"/>
              </w:rPr>
              <w:t>采购包1：综合评分法</w:t>
            </w:r>
          </w:p>
          <w:p>
            <w:pPr>
              <w:pStyle w:val="null3"/>
            </w:pPr>
            <w:r>
              <w:rPr>
                <w:rFonts w:ascii="仿宋_GB2312" w:hAnsi="仿宋_GB2312" w:cs="仿宋_GB2312" w:eastAsia="仿宋_GB2312"/>
              </w:rPr>
              <w:t>采购包2：综合评分法</w:t>
            </w:r>
            <w:r>
              <w:rPr>
                <w:rFonts w:ascii="仿宋_GB2312" w:hAnsi="仿宋_GB2312" w:cs="仿宋_GB2312" w:eastAsia="仿宋_GB2312"/>
              </w:rPr>
              <w:t xml:space="preserve"> （详见第五章）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p>
          <w:p>
            <w:pPr>
              <w:pStyle w:val="null3"/>
            </w:pPr>
            <w:r>
              <w:rPr>
                <w:rFonts w:ascii="仿宋_GB2312" w:hAnsi="仿宋_GB2312" w:cs="仿宋_GB2312" w:eastAsia="仿宋_GB2312"/>
              </w:rPr>
              <w:t>采购包2：不接受</w:t>
            </w:r>
            <w:r>
              <w:rPr>
                <w:rFonts w:ascii="仿宋_GB2312" w:hAnsi="仿宋_GB2312" w:cs="仿宋_GB2312" w:eastAsia="仿宋_GB2312"/>
              </w:rPr>
              <w:t xml:space="preserve"> 如以联合体投标的，联合体各方均应当具备本招标文件要求的资格条件和能力。</w:t>
            </w:r>
          </w:p>
          <w:p>
            <w:pPr>
              <w:pStyle w:val="null3"/>
            </w:pPr>
            <w:r>
              <w:rPr>
                <w:rFonts w:ascii="仿宋_GB2312" w:hAnsi="仿宋_GB2312" w:cs="仿宋_GB2312" w:eastAsia="仿宋_GB2312"/>
              </w:rPr>
              <w:t xml:space="preserve"> （1）联合体各方均应具有承担本项目必备的条件，如相应的人力、物力、资金等。</w:t>
            </w:r>
          </w:p>
          <w:p>
            <w:pPr>
              <w:pStyle w:val="null3"/>
            </w:pPr>
            <w:r>
              <w:rPr>
                <w:rFonts w:ascii="仿宋_GB2312" w:hAnsi="仿宋_GB2312" w:cs="仿宋_GB2312" w:eastAsia="仿宋_GB2312"/>
              </w:rPr>
              <w:t xml:space="preserve"> （2）招标文件对投标人资格条件有特殊要求的，联合体各个成员都应当具备规定的相应资格条件。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发展改革委生态环境部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空调</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产品属于节能产品政府采购品目清单中应强制采购的产品范围，供应商应当提供国家确定的认证机构出具的、处于有效期之内的节能产品认证证书，否则作无效投标处理。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无</w:t>
            </w:r>
            <w:r>
              <w:rPr>
                <w:rFonts w:ascii="仿宋_GB2312" w:hAnsi="仿宋_GB2312" w:cs="仿宋_GB2312" w:eastAsia="仿宋_GB2312"/>
              </w:rPr>
              <w:t>产品属于环境标志产品政府采购品目清单中应优先采购的产品范围，评审得分/响应报价相同的，按供应商提供的优先采购产品认证证书数量由多到少顺序排列。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 xml:space="preserve"> 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关于本项目采购包中执行小微企业（监狱企业、残疾人福利性单位视同小微企业）价格扣除情况、具体扣除比例和规则详见第五章。</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采取随机抽取方式确定一个投标人获得中标人推荐资格，其他同品牌投标人不作为中标候选人。</w:t>
            </w:r>
          </w:p>
          <w:p>
            <w:pPr>
              <w:pStyle w:val="null3"/>
            </w:pPr>
            <w:r>
              <w:rPr>
                <w:rFonts w:ascii="仿宋_GB2312" w:hAnsi="仿宋_GB2312" w:cs="仿宋_GB2312" w:eastAsia="仿宋_GB2312"/>
              </w:rPr>
              <w:t xml:space="preserve"> 采用最低评标价法的采购项目，提供相同品牌产品的不同投标人参加同一合同项下投标的，以其中通过资格审查、符合性审查且报价最低的参加评标；报价相同的，由采购人或者采购人委托评标委员会按照随机抽取方式确定一个参加评标的投标人，其他投标无效。</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在符合性审查环节提供核心产品品牌不足3个的，视为有效投标人不足3家。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评标过程中，评标委员会认为投标人投标报价明显低于其他通过符合性审查投标人的投标报价，有可能影响产品质量或者不能诚信履约的，评标委员会应当要求其在合理的时间内通过项目电子化交易系统进行书面说明，必要时提交相关证明材料。投标人提交的书面说明，应当加盖投标人公章，在评标委员会要求的时间内通过项目电子化交易系统进行提交，否则视为不能证明其投标报价合理性。投标人不能证明其投标报价合理性的，评标委员会应当将其投标文件作为无效投标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投标保证金</w:t>
            </w:r>
          </w:p>
        </w:tc>
        <w:tc>
          <w:tcPr>
            <w:tcW w:type="dxa" w:w="5004"/>
          </w:tcPr>
          <w:p>
            <w:pPr>
              <w:pStyle w:val="null3"/>
            </w:pPr>
            <w:r>
              <w:rPr>
                <w:rFonts w:ascii="仿宋_GB2312" w:hAnsi="仿宋_GB2312" w:cs="仿宋_GB2312" w:eastAsia="仿宋_GB2312"/>
              </w:rPr>
              <w:t>缴交方式：否</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p>
            <w:pPr>
              <w:pStyle w:val="null3"/>
            </w:pPr>
            <w:r>
              <w:rPr>
                <w:rFonts w:ascii="仿宋_GB2312" w:hAnsi="仿宋_GB2312" w:cs="仿宋_GB2312" w:eastAsia="仿宋_GB2312"/>
              </w:rPr>
              <w:t>采购包2：不缴纳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投标有效期（实质性要求）</w:t>
            </w:r>
          </w:p>
        </w:tc>
        <w:tc>
          <w:tcPr>
            <w:tcW w:type="dxa" w:w="5004"/>
          </w:tcPr>
          <w:p>
            <w:pPr>
              <w:pStyle w:val="null3"/>
            </w:pPr>
            <w:r>
              <w:rPr>
                <w:rFonts w:ascii="仿宋_GB2312" w:hAnsi="仿宋_GB2312" w:cs="仿宋_GB2312" w:eastAsia="仿宋_GB2312"/>
              </w:rPr>
              <w:t>提交投标文件的截止之日起不少于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本项目不收取代理服务费</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中标通知书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采购结果公告发布的同时，采购人或代理机构通过项目电子化交易系统向中标供应商发出中标通知书；中标供应商通过项目电子化交易系统获取中标通知书。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p>
            <w:pPr>
              <w:pStyle w:val="null3"/>
            </w:pPr>
            <w:r>
              <w:rPr>
                <w:rFonts w:ascii="仿宋_GB2312" w:hAnsi="仿宋_GB2312" w:cs="仿宋_GB2312" w:eastAsia="仿宋_GB2312"/>
              </w:rPr>
              <w:t>采购包2：组织现场踏勘：否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出现下列情形之一的，采购人或者采购代理机构应当中止电子化采购活动，并保留相关证明材料备查：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出现上述的情形，不影响采购公平、公正的，采购人或者代理机构可以待上述情形消除后继续组织采购活动；影响或者可能影响采购公平、公正的，采购人或者代理机构应当依法废标。</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一、本招标文件仅适用于本次公开招标采购项目。</w:t>
      </w:r>
    </w:p>
    <w:p>
      <w:pPr>
        <w:pStyle w:val="null3"/>
        <w:ind w:firstLine="480"/>
      </w:pPr>
      <w:r>
        <w:rPr>
          <w:rFonts w:ascii="仿宋_GB2312" w:hAnsi="仿宋_GB2312" w:cs="仿宋_GB2312" w:eastAsia="仿宋_GB2312"/>
        </w:rPr>
        <w:t xml:space="preserve"> 二、本招标文件的最终解释权由</w:t>
      </w:r>
      <w:r>
        <w:rPr>
          <w:rFonts w:ascii="仿宋_GB2312" w:hAnsi="仿宋_GB2312" w:cs="仿宋_GB2312" w:eastAsia="仿宋_GB2312"/>
        </w:rPr>
        <w:t>西乡县第四中学</w:t>
      </w:r>
      <w:r>
        <w:rPr>
          <w:rFonts w:ascii="仿宋_GB2312" w:hAnsi="仿宋_GB2312" w:cs="仿宋_GB2312" w:eastAsia="仿宋_GB2312"/>
        </w:rPr>
        <w:t>和</w:t>
      </w:r>
      <w:r>
        <w:rPr>
          <w:rFonts w:ascii="仿宋_GB2312" w:hAnsi="仿宋_GB2312" w:cs="仿宋_GB2312" w:eastAsia="仿宋_GB2312"/>
        </w:rPr>
        <w:t>西乡县政府采购预算评审中心</w:t>
      </w:r>
      <w:r>
        <w:rPr>
          <w:rFonts w:ascii="仿宋_GB2312" w:hAnsi="仿宋_GB2312" w:cs="仿宋_GB2312" w:eastAsia="仿宋_GB2312"/>
        </w:rPr>
        <w:t>享有。对招标文件中供应商参加本次政府采购活动应当具备的条件，招标项目技术、服务、商务及其他要求，评标细则及标准由</w:t>
      </w:r>
      <w:r>
        <w:rPr>
          <w:rFonts w:ascii="仿宋_GB2312" w:hAnsi="仿宋_GB2312" w:cs="仿宋_GB2312" w:eastAsia="仿宋_GB2312"/>
        </w:rPr>
        <w:t>西乡县第四中学</w:t>
      </w:r>
      <w:r>
        <w:rPr>
          <w:rFonts w:ascii="仿宋_GB2312" w:hAnsi="仿宋_GB2312" w:cs="仿宋_GB2312" w:eastAsia="仿宋_GB2312"/>
        </w:rPr>
        <w:t>负责解释。除上述招标文件内容，其他内容由</w:t>
      </w:r>
      <w:r>
        <w:rPr>
          <w:rFonts w:ascii="仿宋_GB2312" w:hAnsi="仿宋_GB2312" w:cs="仿宋_GB2312" w:eastAsia="仿宋_GB2312"/>
        </w:rPr>
        <w:t>西乡县政府采购预算评审中心</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一、“采购人”是指依法进行政府采购的各级国家机关、事业单位、团体组织。本次招标的采购人是</w:t>
      </w:r>
      <w:r>
        <w:rPr>
          <w:rFonts w:ascii="仿宋_GB2312" w:hAnsi="仿宋_GB2312" w:cs="仿宋_GB2312" w:eastAsia="仿宋_GB2312"/>
        </w:rPr>
        <w:t>西乡县第四中学</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二、“投标人”是指按照采购公告规定获取了招标文件，拟参加投标和向采购人提供货物、工程或服务的法人、其他组织或者自然人。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西乡县政府采购预算评审中心</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四、“网上开标”是指代理机构通过项目电子化交易系统在线完成签到、开标、唱标和记录等活动，供应商通过项目电子化交易系统在线完成投标文件解密、参与开标活动。</w:t>
      </w:r>
    </w:p>
    <w:p>
      <w:pPr>
        <w:pStyle w:val="null3"/>
        <w:ind w:firstLine="480"/>
      </w:pPr>
      <w:r>
        <w:rPr>
          <w:rFonts w:ascii="仿宋_GB2312" w:hAnsi="仿宋_GB2312" w:cs="仿宋_GB2312" w:eastAsia="仿宋_GB2312"/>
        </w:rPr>
        <w:t xml:space="preserve"> 五、“电子评标”是指通过项目电子化交易系统在线完成资格审查小组和评审小组组建，开展资格和符合性审查、比较与评价、出具评标报告、推荐中标候选供应商等活动。</w:t>
      </w:r>
    </w:p>
    <w:p>
      <w:pPr>
        <w:pStyle w:val="null3"/>
        <w:outlineLvl w:val="2"/>
      </w:pPr>
      <w:r>
        <w:rPr>
          <w:rFonts w:ascii="仿宋_GB2312" w:hAnsi="仿宋_GB2312" w:cs="仿宋_GB2312" w:eastAsia="仿宋_GB2312"/>
          <w:sz w:val="28"/>
          <w:b/>
        </w:rPr>
        <w:t>2.3招标文件</w:t>
      </w:r>
    </w:p>
    <w:p>
      <w:pPr>
        <w:pStyle w:val="null3"/>
        <w:outlineLvl w:val="3"/>
      </w:pPr>
      <w:r>
        <w:rPr>
          <w:rFonts w:ascii="仿宋_GB2312" w:hAnsi="仿宋_GB2312" w:cs="仿宋_GB2312" w:eastAsia="仿宋_GB2312"/>
          <w:sz w:val="24"/>
          <w:b/>
        </w:rPr>
        <w:t xml:space="preserve"> 2.3.1招标文件的构成</w:t>
      </w:r>
    </w:p>
    <w:p>
      <w:pPr>
        <w:pStyle w:val="null3"/>
        <w:ind w:firstLine="480"/>
      </w:pPr>
      <w:r>
        <w:rPr>
          <w:rFonts w:ascii="仿宋_GB2312" w:hAnsi="仿宋_GB2312" w:cs="仿宋_GB2312" w:eastAsia="仿宋_GB2312"/>
        </w:rPr>
        <w:t xml:space="preserve"> 一、招标文件是投标人准备投标文件和参加投标的依据，同时也是资格审查、评标的重要依据。招标文件用以阐明招标项目所需的资质、技术、服务及报价等要求、招标投标程序、有关规定和注意事项以及合同主要条款等。本招标文件包括以下内容：</w:t>
      </w:r>
    </w:p>
    <w:p>
      <w:pPr>
        <w:pStyle w:val="null3"/>
        <w:ind w:firstLine="480"/>
      </w:pPr>
      <w:r>
        <w:rPr>
          <w:rFonts w:ascii="仿宋_GB2312" w:hAnsi="仿宋_GB2312" w:cs="仿宋_GB2312" w:eastAsia="仿宋_GB2312"/>
        </w:rPr>
        <w:t>（一）投标邀请；</w:t>
      </w:r>
    </w:p>
    <w:p>
      <w:pPr>
        <w:pStyle w:val="null3"/>
        <w:ind w:firstLine="480"/>
      </w:pPr>
      <w:r>
        <w:rPr>
          <w:rFonts w:ascii="仿宋_GB2312" w:hAnsi="仿宋_GB2312" w:cs="仿宋_GB2312" w:eastAsia="仿宋_GB2312"/>
        </w:rPr>
        <w:t>（二）投标人须知；</w:t>
      </w:r>
    </w:p>
    <w:p>
      <w:pPr>
        <w:pStyle w:val="null3"/>
        <w:ind w:firstLine="480"/>
      </w:pPr>
      <w:r>
        <w:rPr>
          <w:rFonts w:ascii="仿宋_GB2312" w:hAnsi="仿宋_GB2312" w:cs="仿宋_GB2312" w:eastAsia="仿宋_GB2312"/>
        </w:rPr>
        <w:t>（三）招标项目技术、服务、商务及其他要求；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（五）评标办法；</w:t>
      </w:r>
    </w:p>
    <w:p>
      <w:pPr>
        <w:pStyle w:val="null3"/>
        <w:ind w:firstLine="480"/>
      </w:pPr>
      <w:r>
        <w:rPr>
          <w:rFonts w:ascii="仿宋_GB2312" w:hAnsi="仿宋_GB2312" w:cs="仿宋_GB2312" w:eastAsia="仿宋_GB2312"/>
        </w:rPr>
        <w:t>（六）投标文件格式；</w:t>
      </w:r>
    </w:p>
    <w:p>
      <w:pPr>
        <w:pStyle w:val="null3"/>
        <w:ind w:firstLine="480"/>
      </w:pPr>
      <w:r>
        <w:rPr>
          <w:rFonts w:ascii="仿宋_GB2312" w:hAnsi="仿宋_GB2312" w:cs="仿宋_GB2312" w:eastAsia="仿宋_GB2312"/>
        </w:rPr>
        <w:t>（七）拟签订采购合同文本。</w:t>
      </w:r>
    </w:p>
    <w:p>
      <w:pPr>
        <w:pStyle w:val="null3"/>
        <w:ind w:firstLine="480"/>
      </w:pPr>
      <w:r>
        <w:rPr>
          <w:rFonts w:ascii="仿宋_GB2312" w:hAnsi="仿宋_GB2312" w:cs="仿宋_GB2312" w:eastAsia="仿宋_GB2312"/>
        </w:rPr>
        <w:t xml:space="preserve"> 二、投标人应认真阅读和充分理解招标文件中所有的事项、格式条款和规范要求。投标人没有对招标文件全面做出实质性响应所产生的风险由投标人承担。</w:t>
      </w:r>
    </w:p>
    <w:p>
      <w:pPr>
        <w:pStyle w:val="null3"/>
        <w:outlineLvl w:val="3"/>
      </w:pPr>
      <w:r>
        <w:rPr>
          <w:rFonts w:ascii="仿宋_GB2312" w:hAnsi="仿宋_GB2312" w:cs="仿宋_GB2312" w:eastAsia="仿宋_GB2312"/>
          <w:sz w:val="24"/>
          <w:b/>
        </w:rPr>
        <w:t xml:space="preserve"> 2.3.2招标文件的澄清和修改</w:t>
      </w:r>
    </w:p>
    <w:p>
      <w:pPr>
        <w:pStyle w:val="null3"/>
        <w:ind w:firstLine="480"/>
      </w:pPr>
      <w:r>
        <w:rPr>
          <w:rFonts w:ascii="仿宋_GB2312" w:hAnsi="仿宋_GB2312" w:cs="仿宋_GB2312" w:eastAsia="仿宋_GB2312"/>
        </w:rPr>
        <w:t>一、在投标文件提交截止时间前，采购人或者代理机构可以对已发出的招标文件进行必要的澄清或者修改。</w:t>
      </w:r>
    </w:p>
    <w:p>
      <w:pPr>
        <w:pStyle w:val="null3"/>
        <w:ind w:firstLine="480"/>
      </w:pPr>
      <w:r>
        <w:rPr>
          <w:rFonts w:ascii="仿宋_GB2312" w:hAnsi="仿宋_GB2312" w:cs="仿宋_GB2312" w:eastAsia="仿宋_GB2312"/>
        </w:rPr>
        <w:t xml:space="preserve"> 二、澄清或者修改的内容为招标文件的组成部分，采购人或者代理机构将在陕西省政府采购网发布更正公告，投标人应及时关注本项目更正公告信息，按更正后公告要求进行响应。更正内容可能影响投标文件编制的，采购人或者代理机构将通过项目电子化交易系统发布更正后的招标文件，投标人应依据更正后的招标文件编制投标文件。若投标人未按前述要求进行投标响应的，自行承担不利后果。</w:t>
      </w:r>
    </w:p>
    <w:p>
      <w:pPr>
        <w:pStyle w:val="null3"/>
        <w:outlineLvl w:val="2"/>
      </w:pPr>
      <w:r>
        <w:rPr>
          <w:rFonts w:ascii="仿宋_GB2312" w:hAnsi="仿宋_GB2312" w:cs="仿宋_GB2312" w:eastAsia="仿宋_GB2312"/>
          <w:sz w:val="28"/>
          <w:b/>
        </w:rPr>
        <w:t>2.4投标文件</w:t>
      </w:r>
    </w:p>
    <w:p>
      <w:pPr>
        <w:pStyle w:val="null3"/>
        <w:outlineLvl w:val="3"/>
      </w:pPr>
      <w:r>
        <w:rPr>
          <w:rFonts w:ascii="仿宋_GB2312" w:hAnsi="仿宋_GB2312" w:cs="仿宋_GB2312" w:eastAsia="仿宋_GB2312"/>
          <w:sz w:val="24"/>
          <w:b/>
        </w:rPr>
        <w:t xml:space="preserve"> 2.4.1投标文件的语言</w:t>
      </w:r>
    </w:p>
    <w:p>
      <w:pPr>
        <w:pStyle w:val="null3"/>
        <w:ind w:firstLine="480"/>
      </w:pPr>
      <w:r>
        <w:rPr>
          <w:rFonts w:ascii="仿宋_GB2312" w:hAnsi="仿宋_GB2312" w:cs="仿宋_GB2312" w:eastAsia="仿宋_GB2312"/>
        </w:rPr>
        <w:t xml:space="preserve"> 一、投标人提交的投标文件以及投标人与采购人或代理机构就有关投标的所有来往书面文件均须使用中文。投标文件中如附有外文资料，主要部分要对应翻译成中文并附在相关外文资料后面。未翻译的外文资料，评标委员会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三、如因未翻译而造成对投标人的不利后果，由投标人承担。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除招标文件中另有规定外，本项目均采用国家法定的计量单位。</w:t>
      </w:r>
    </w:p>
    <w:p>
      <w:pPr>
        <w:pStyle w:val="null3"/>
        <w:outlineLvl w:val="3"/>
      </w:pPr>
      <w:r>
        <w:rPr>
          <w:rFonts w:ascii="仿宋_GB2312" w:hAnsi="仿宋_GB2312" w:cs="仿宋_GB2312" w:eastAsia="仿宋_GB2312"/>
          <w:sz w:val="24"/>
          <w:b/>
        </w:rPr>
        <w:t>2.4.3投标货币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投标人应保证在本项目中使用的任何技术、产品和服务（包括部分使用），不会产生因第三方提出侵犯其专利权、商标权或其它知识产权而引起的法律和经济纠纷，如因专利权、商标权或其它知识产权而引起法律和经济纠纷，由投标人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投标人将在采购项目实施过程中采用自有或者第三方知识成果的，使用该知识成果后，投标人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三、如采用投标人所不拥有的知识产权，则在投标报价中必须包括合法使用该知识产权的相关费用。</w:t>
      </w:r>
    </w:p>
    <w:p>
      <w:pPr>
        <w:pStyle w:val="null3"/>
        <w:outlineLvl w:val="3"/>
      </w:pPr>
      <w:r>
        <w:rPr>
          <w:rFonts w:ascii="仿宋_GB2312" w:hAnsi="仿宋_GB2312" w:cs="仿宋_GB2312" w:eastAsia="仿宋_GB2312"/>
          <w:sz w:val="24"/>
          <w:b/>
        </w:rPr>
        <w:t>2.4.5投标文件的组成</w:t>
      </w:r>
    </w:p>
    <w:p>
      <w:pPr>
        <w:pStyle w:val="null3"/>
        <w:ind w:firstLine="480"/>
      </w:pPr>
      <w:r>
        <w:rPr>
          <w:rFonts w:ascii="仿宋_GB2312" w:hAnsi="仿宋_GB2312" w:cs="仿宋_GB2312" w:eastAsia="仿宋_GB2312"/>
        </w:rPr>
        <w:t>投标人应当按照招标文件的要求编制投标文件。投标文件应当对招标文件提出的要求和条件作出明确响应。</w:t>
      </w:r>
    </w:p>
    <w:p>
      <w:pPr>
        <w:pStyle w:val="null3"/>
        <w:ind w:firstLine="480"/>
      </w:pPr>
      <w:r>
        <w:rPr>
          <w:rFonts w:ascii="仿宋_GB2312" w:hAnsi="仿宋_GB2312" w:cs="仿宋_GB2312" w:eastAsia="仿宋_GB2312"/>
        </w:rPr>
        <w:t>投标文件具体内容详见第六章。</w:t>
      </w:r>
    </w:p>
    <w:p>
      <w:pPr>
        <w:pStyle w:val="null3"/>
        <w:outlineLvl w:val="3"/>
      </w:pPr>
      <w:r>
        <w:rPr>
          <w:rFonts w:ascii="仿宋_GB2312" w:hAnsi="仿宋_GB2312" w:cs="仿宋_GB2312" w:eastAsia="仿宋_GB2312"/>
          <w:sz w:val="24"/>
          <w:b/>
        </w:rPr>
        <w:t xml:space="preserve"> 2.4.6投标文件格式</w:t>
      </w:r>
    </w:p>
    <w:p>
      <w:pPr>
        <w:pStyle w:val="null3"/>
        <w:ind w:firstLine="480"/>
      </w:pPr>
      <w:r>
        <w:rPr>
          <w:rFonts w:ascii="仿宋_GB2312" w:hAnsi="仿宋_GB2312" w:cs="仿宋_GB2312" w:eastAsia="仿宋_GB2312"/>
        </w:rPr>
        <w:t>一、投标人应按照招标文件第六章中提供的“投标文件格式”填写相关内容。</w:t>
      </w:r>
    </w:p>
    <w:p>
      <w:pPr>
        <w:pStyle w:val="null3"/>
        <w:ind w:firstLine="480"/>
      </w:pPr>
      <w:r>
        <w:rPr>
          <w:rFonts w:ascii="仿宋_GB2312" w:hAnsi="仿宋_GB2312" w:cs="仿宋_GB2312" w:eastAsia="仿宋_GB2312"/>
        </w:rPr>
        <w:t>二、对于没有格式要求的投标文件由投标人自行编写。</w:t>
      </w:r>
    </w:p>
    <w:p>
      <w:pPr>
        <w:pStyle w:val="null3"/>
        <w:outlineLvl w:val="3"/>
      </w:pPr>
      <w:r>
        <w:rPr>
          <w:rFonts w:ascii="仿宋_GB2312" w:hAnsi="仿宋_GB2312" w:cs="仿宋_GB2312" w:eastAsia="仿宋_GB2312"/>
          <w:sz w:val="24"/>
          <w:b/>
        </w:rPr>
        <w:t>2.4.7投标报价（实质性要求）</w:t>
      </w:r>
    </w:p>
    <w:p>
      <w:pPr>
        <w:pStyle w:val="null3"/>
        <w:ind w:firstLine="480"/>
      </w:pPr>
      <w:r>
        <w:rPr>
          <w:rFonts w:ascii="仿宋_GB2312" w:hAnsi="仿宋_GB2312" w:cs="仿宋_GB2312" w:eastAsia="仿宋_GB2312"/>
        </w:rPr>
        <w:t>一、投标人的报价是投标人响应招标项目要 求的全部工作内容的价格体现，包括投标人完成本项目所需的一切费用。</w:t>
      </w:r>
    </w:p>
    <w:p>
      <w:pPr>
        <w:pStyle w:val="null3"/>
        <w:ind w:firstLine="480"/>
      </w:pPr>
      <w:r>
        <w:rPr>
          <w:rFonts w:ascii="仿宋_GB2312" w:hAnsi="仿宋_GB2312" w:cs="仿宋_GB2312" w:eastAsia="仿宋_GB2312"/>
        </w:rPr>
        <w:t xml:space="preserve"> 二、投标人每种货物及服务内容只允许有一个报价，并且在合同履行过程中是固定不变的，任何有选择或可调整的报价将不予接受，并按无效投标处理。</w:t>
      </w:r>
    </w:p>
    <w:p>
      <w:pPr>
        <w:pStyle w:val="null3"/>
        <w:ind w:firstLine="480"/>
      </w:pPr>
      <w:r>
        <w:rPr>
          <w:rFonts w:ascii="仿宋_GB2312" w:hAnsi="仿宋_GB2312" w:cs="仿宋_GB2312" w:eastAsia="仿宋_GB2312"/>
        </w:rPr>
        <w:t xml:space="preserve"> 三、投标文件报价出现前后不一致的，按照招标文件第五章评标办法规定予以修正，修正后的报价经投标人通过项目电子化交易系统进行确认，并加盖投标人（法定名称）电子签章，投标人未在规定时间内确认的，其投标无效。</w:t>
      </w:r>
    </w:p>
    <w:p>
      <w:pPr>
        <w:pStyle w:val="null3"/>
        <w:outlineLvl w:val="3"/>
      </w:pPr>
      <w:r>
        <w:rPr>
          <w:rFonts w:ascii="仿宋_GB2312" w:hAnsi="仿宋_GB2312" w:cs="仿宋_GB2312" w:eastAsia="仿宋_GB2312"/>
          <w:sz w:val="24"/>
          <w:b/>
        </w:rPr>
        <w:t>2.4.8投标有效期（实质性要求）</w:t>
      </w:r>
    </w:p>
    <w:p>
      <w:pPr>
        <w:pStyle w:val="null3"/>
        <w:ind w:firstLine="480"/>
      </w:pPr>
      <w:r>
        <w:rPr>
          <w:rFonts w:ascii="仿宋_GB2312" w:hAnsi="仿宋_GB2312" w:cs="仿宋_GB2312" w:eastAsia="仿宋_GB2312"/>
        </w:rPr>
        <w:t xml:space="preserve"> 投标有效期详见第二章“投标人须知前附表”，投标文件未明确投标有效期或者投标有效期小于“投标人须知前附表”中投标有效期要求的，其投标文件按无效处理。</w:t>
      </w:r>
    </w:p>
    <w:p>
      <w:pPr>
        <w:pStyle w:val="null3"/>
        <w:outlineLvl w:val="3"/>
      </w:pPr>
      <w:r>
        <w:rPr>
          <w:rFonts w:ascii="仿宋_GB2312" w:hAnsi="仿宋_GB2312" w:cs="仿宋_GB2312" w:eastAsia="仿宋_GB2312"/>
          <w:sz w:val="24"/>
          <w:b/>
        </w:rPr>
        <w:t xml:space="preserve"> 2.4.9投标文件的制作、签章和加密（实质性要求）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二、投标人应按照客户端操作要求，对应招标文件的每项实质性要求，逐一如实响应；未如实响应或者响应内容不符合招标文件对应项的要求的，其投标文件作无效处理。</w:t>
      </w:r>
    </w:p>
    <w:p>
      <w:pPr>
        <w:pStyle w:val="null3"/>
        <w:ind w:firstLine="480"/>
      </w:pPr>
      <w:r>
        <w:rPr>
          <w:rFonts w:ascii="仿宋_GB2312" w:hAnsi="仿宋_GB2312" w:cs="仿宋_GB2312" w:eastAsia="仿宋_GB2312"/>
        </w:rPr>
        <w:t xml:space="preserve"> 三、投标人完成投标文件编制后，应按照招标文件第一章明确的签章要求，使用互认的证书及签章对投标文件进行电子签章和加密。</w:t>
      </w:r>
    </w:p>
    <w:p>
      <w:pPr>
        <w:pStyle w:val="null3"/>
        <w:ind w:firstLine="480"/>
      </w:pPr>
      <w:r>
        <w:rPr>
          <w:rFonts w:ascii="仿宋_GB2312" w:hAnsi="仿宋_GB2312" w:cs="仿宋_GB2312" w:eastAsia="仿宋_GB2312"/>
        </w:rPr>
        <w:t xml:space="preserve"> 四、招标文件澄清或者修改的内容可能影响投标文件编制的，代理机构将重新发布澄清或者修改后的招标文件，投标人应重新获取澄清或者修改后的招标文件，按照澄清或者修改后的招标文件进行投标文件编制、签章和加密。</w:t>
      </w:r>
    </w:p>
    <w:p>
      <w:pPr>
        <w:pStyle w:val="null3"/>
        <w:outlineLvl w:val="3"/>
      </w:pPr>
      <w:r>
        <w:rPr>
          <w:rFonts w:ascii="仿宋_GB2312" w:hAnsi="仿宋_GB2312" w:cs="仿宋_GB2312" w:eastAsia="仿宋_GB2312"/>
          <w:sz w:val="24"/>
          <w:b/>
        </w:rPr>
        <w:t>2.4.10投标文件的提交</w:t>
      </w:r>
    </w:p>
    <w:p>
      <w:pPr>
        <w:pStyle w:val="null3"/>
        <w:ind w:firstLine="480"/>
      </w:pPr>
      <w:r>
        <w:rPr>
          <w:rFonts w:ascii="仿宋_GB2312" w:hAnsi="仿宋_GB2312" w:cs="仿宋_GB2312" w:eastAsia="仿宋_GB2312"/>
        </w:rPr>
        <w:t>一、（实质性要求）投标人应当在投标文件提交截止时间前，通过项目电子化交易系统完成投标文件提交。</w:t>
      </w:r>
    </w:p>
    <w:p>
      <w:pPr>
        <w:pStyle w:val="null3"/>
        <w:ind w:firstLine="480"/>
      </w:pPr>
      <w:r>
        <w:rPr>
          <w:rFonts w:ascii="仿宋_GB2312" w:hAnsi="仿宋_GB2312" w:cs="仿宋_GB2312" w:eastAsia="仿宋_GB2312"/>
        </w:rPr>
        <w:t xml:space="preserve"> 二、在投标文件提交截止时间后，采购人或者代理机构不再接受投标人提交投标文件。投标人应充分考虑影响投标文件提交的各种因素，确保在投标文件提交截止时间前完成提交。</w:t>
      </w:r>
    </w:p>
    <w:p>
      <w:pPr>
        <w:pStyle w:val="null3"/>
        <w:outlineLvl w:val="3"/>
      </w:pPr>
      <w:r>
        <w:rPr>
          <w:rFonts w:ascii="仿宋_GB2312" w:hAnsi="仿宋_GB2312" w:cs="仿宋_GB2312" w:eastAsia="仿宋_GB2312"/>
          <w:sz w:val="24"/>
          <w:b/>
        </w:rPr>
        <w:t>2.4.11投标文件的补充、修改、撤回（实质性要求）</w:t>
      </w:r>
    </w:p>
    <w:p>
      <w:pPr>
        <w:pStyle w:val="null3"/>
        <w:ind w:firstLine="480"/>
      </w:pPr>
      <w:r>
        <w:rPr>
          <w:rFonts w:ascii="仿宋_GB2312" w:hAnsi="仿宋_GB2312" w:cs="仿宋_GB2312" w:eastAsia="仿宋_GB2312"/>
        </w:rPr>
        <w:t xml:space="preserve"> 投标文件提交截止时间前，投标人可以补充、修改或者撤回已成功提交的投标文件；对投标文件进行补充、修改的，应当先行撤回已提交的投标文件，补充、修改后重新提交。</w:t>
      </w:r>
    </w:p>
    <w:p>
      <w:pPr>
        <w:pStyle w:val="null3"/>
        <w:ind w:firstLine="480"/>
      </w:pPr>
      <w:r>
        <w:rPr>
          <w:rFonts w:ascii="仿宋_GB2312" w:hAnsi="仿宋_GB2312" w:cs="仿宋_GB2312" w:eastAsia="仿宋_GB2312"/>
        </w:rPr>
        <w:t>供应商投标文件撤回后，视为未提交过投标文件。</w:t>
      </w:r>
    </w:p>
    <w:p>
      <w:pPr>
        <w:pStyle w:val="null3"/>
        <w:outlineLvl w:val="2"/>
      </w:pPr>
      <w:r>
        <w:rPr>
          <w:rFonts w:ascii="仿宋_GB2312" w:hAnsi="仿宋_GB2312" w:cs="仿宋_GB2312" w:eastAsia="仿宋_GB2312"/>
          <w:sz w:val="28"/>
          <w:b/>
        </w:rPr>
        <w:t>2.5开标、资格审查、评标和中标</w:t>
      </w:r>
    </w:p>
    <w:p>
      <w:pPr>
        <w:pStyle w:val="null3"/>
        <w:outlineLvl w:val="3"/>
      </w:pPr>
      <w:r>
        <w:rPr>
          <w:rFonts w:ascii="仿宋_GB2312" w:hAnsi="仿宋_GB2312" w:cs="仿宋_GB2312" w:eastAsia="仿宋_GB2312"/>
          <w:sz w:val="24"/>
          <w:b/>
        </w:rPr>
        <w:t>2.5.1开标及开标程序</w:t>
      </w:r>
    </w:p>
    <w:p>
      <w:pPr>
        <w:pStyle w:val="null3"/>
        <w:ind w:firstLine="480"/>
      </w:pPr>
      <w:r>
        <w:rPr>
          <w:rFonts w:ascii="仿宋_GB2312" w:hAnsi="仿宋_GB2312" w:cs="仿宋_GB2312" w:eastAsia="仿宋_GB2312"/>
        </w:rPr>
        <w:t xml:space="preserve"> 一、本项目为网上开标项目。网上开标的开始时间为投标文件提交截止时间。成功提交或解密电子投标文件的投标人不足3家的，不予开标，采购人或代理机构将作废标处理。</w:t>
      </w:r>
    </w:p>
    <w:p>
      <w:pPr>
        <w:pStyle w:val="null3"/>
        <w:ind w:firstLine="480"/>
      </w:pPr>
      <w:r>
        <w:rPr>
          <w:rFonts w:ascii="仿宋_GB2312" w:hAnsi="仿宋_GB2312" w:cs="仿宋_GB2312" w:eastAsia="仿宋_GB2312"/>
        </w:rPr>
        <w:t>二、开标准备工作</w:t>
      </w:r>
    </w:p>
    <w:p>
      <w:pPr>
        <w:pStyle w:val="null3"/>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三、解密投标文件（实质性要求）</w:t>
      </w:r>
    </w:p>
    <w:p>
      <w:pPr>
        <w:pStyle w:val="null3"/>
        <w:ind w:firstLine="480"/>
      </w:pPr>
      <w:r>
        <w:rPr>
          <w:rFonts w:ascii="仿宋_GB2312" w:hAnsi="仿宋_GB2312" w:cs="仿宋_GB2312" w:eastAsia="仿宋_GB2312"/>
        </w:rPr>
        <w:t xml:space="preserve"> 投标文件提交截止时间后，成功提交投标文件的投标人符合招标文件规定数量的，代理机构将启动投标文件解密程序，解密时间为</w:t>
      </w:r>
      <w:r>
        <w:rPr>
          <w:rFonts w:ascii="仿宋_GB2312" w:hAnsi="仿宋_GB2312" w:cs="仿宋_GB2312" w:eastAsia="仿宋_GB2312"/>
        </w:rPr>
        <w:t>30</w:t>
      </w:r>
      <w:r>
        <w:rPr>
          <w:rFonts w:ascii="仿宋_GB2312" w:hAnsi="仿宋_GB2312" w:cs="仿宋_GB2312" w:eastAsia="仿宋_GB2312"/>
        </w:rPr>
        <w:t>分钟；投标人应在规定的解密时间内，使用互认的证书及签章通过项目电子化采购系统进行投标文件解密。</w:t>
      </w:r>
    </w:p>
    <w:p>
      <w:pPr>
        <w:pStyle w:val="null3"/>
        <w:ind w:firstLine="480"/>
      </w:pPr>
      <w:r>
        <w:rPr>
          <w:rFonts w:ascii="仿宋_GB2312" w:hAnsi="仿宋_GB2312" w:cs="仿宋_GB2312" w:eastAsia="仿宋_GB2312"/>
        </w:rPr>
        <w:t>四、开标</w:t>
      </w:r>
    </w:p>
    <w:p>
      <w:pPr>
        <w:pStyle w:val="null3"/>
        <w:ind w:firstLine="480"/>
      </w:pPr>
      <w:r>
        <w:rPr>
          <w:rFonts w:ascii="仿宋_GB2312" w:hAnsi="仿宋_GB2312" w:cs="仿宋_GB2312" w:eastAsia="仿宋_GB2312"/>
        </w:rPr>
        <w:t xml:space="preserve"> 解密时间截止或者所有投标人投标文件均完成解密后（以发生在先的时间为准），由代理机构通过项目电子化交易系统对投标人名称、投标文件解密情况、投标报价进行展示。</w:t>
      </w:r>
    </w:p>
    <w:p>
      <w:pPr>
        <w:pStyle w:val="null3"/>
        <w:ind w:firstLine="480"/>
      </w:pPr>
      <w:r>
        <w:rPr>
          <w:rFonts w:ascii="仿宋_GB2312" w:hAnsi="仿宋_GB2312" w:cs="仿宋_GB2312" w:eastAsia="仿宋_GB2312"/>
        </w:rPr>
        <w:t xml:space="preserve"> 开标过程中，各方主体均应遵守互联网有关规定，不得发表与采购活动无关的言论。投标人对开标过程和开标记录有疑义，以及认为采购人或代理机构相关工作人员有需要回避的情形的，及时向工作人员提出询问或者回避申请。采购人或代理机构对投标人提出的询问或者回避申请应当及时处理。</w:t>
      </w:r>
    </w:p>
    <w:p>
      <w:pPr>
        <w:pStyle w:val="null3"/>
        <w:ind w:firstLine="480"/>
      </w:pPr>
      <w:r>
        <w:rPr>
          <w:rFonts w:ascii="仿宋_GB2312" w:hAnsi="仿宋_GB2312" w:cs="仿宋_GB2312" w:eastAsia="仿宋_GB2312"/>
        </w:rPr>
        <w:t>投标人完成投标文件解密后，自主决定是否参加网上在线开标，未参加的，视同认可开标结果。</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标结束后，采购人或代理机构根据《关于在政府采购活动中查询及使用信用记录有关问题的通知》（财库〔2016〕125号）的要求，通过“信用中国”网站（www.creditchina.gov.cn）、“中国政府采购网”网站（www.ccgp.gov.cn）等渠道，查询投标人在投标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两个以上的自然人、法人或者其他组织组成一个联合体，以一个投标人的身份共同参加政府采购活动的，将对所有联合体成员进行信用记录查询，联合体成员存在不良信用记录的，视同联合体存在不良信用记录。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详见招标文件第四章。</w:t>
      </w:r>
    </w:p>
    <w:p>
      <w:pPr>
        <w:pStyle w:val="null3"/>
        <w:outlineLvl w:val="3"/>
      </w:pPr>
      <w:r>
        <w:rPr>
          <w:rFonts w:ascii="仿宋_GB2312" w:hAnsi="仿宋_GB2312" w:cs="仿宋_GB2312" w:eastAsia="仿宋_GB2312"/>
          <w:sz w:val="24"/>
          <w:b/>
        </w:rPr>
        <w:t>2.5.4评标</w:t>
      </w:r>
    </w:p>
    <w:p>
      <w:pPr>
        <w:pStyle w:val="null3"/>
        <w:ind w:firstLine="480"/>
      </w:pPr>
      <w:r>
        <w:rPr>
          <w:rFonts w:ascii="仿宋_GB2312" w:hAnsi="仿宋_GB2312" w:cs="仿宋_GB2312" w:eastAsia="仿宋_GB2312"/>
        </w:rPr>
        <w:t>详见招标文件第五章。</w:t>
      </w:r>
    </w:p>
    <w:p>
      <w:pPr>
        <w:pStyle w:val="null3"/>
        <w:outlineLvl w:val="3"/>
      </w:pPr>
      <w:r>
        <w:rPr>
          <w:rFonts w:ascii="仿宋_GB2312" w:hAnsi="仿宋_GB2312" w:cs="仿宋_GB2312" w:eastAsia="仿宋_GB2312"/>
          <w:sz w:val="24"/>
          <w:b/>
        </w:rPr>
        <w:t>2.5.5中标通知书</w:t>
      </w:r>
    </w:p>
    <w:p>
      <w:pPr>
        <w:pStyle w:val="null3"/>
        <w:ind w:firstLine="480"/>
      </w:pPr>
      <w:r>
        <w:rPr>
          <w:rFonts w:ascii="仿宋_GB2312" w:hAnsi="仿宋_GB2312" w:cs="仿宋_GB2312" w:eastAsia="仿宋_GB2312"/>
        </w:rPr>
        <w:t xml:space="preserve"> 一、采购人或者评标委员会确认中标供应商后，代理机构在陕西省政府采购网发布中标结果公告、通过项目电子化交易系统发出中标通知书，中标供应商通过项目电子化交易系统获取中标通知书。</w:t>
      </w:r>
    </w:p>
    <w:p>
      <w:pPr>
        <w:pStyle w:val="null3"/>
        <w:ind w:firstLine="480"/>
      </w:pPr>
      <w:r>
        <w:rPr>
          <w:rFonts w:ascii="仿宋_GB2312" w:hAnsi="仿宋_GB2312" w:cs="仿宋_GB2312" w:eastAsia="仿宋_GB2312"/>
        </w:rPr>
        <w:t xml:space="preserve"> 二、中标通知书是采购人和中标供应商签订政府采购合同的依据，是合同的有效组成部分。如果出现政府采购法律法规、规章制度规定的中标无效情形的，将以公告形式宣布发出的中标通知书无效，中标通知书将自动失效，并依法重新确定中标供应商或者重新开展采购活动。</w:t>
      </w:r>
    </w:p>
    <w:p>
      <w:pPr>
        <w:pStyle w:val="null3"/>
        <w:ind w:firstLine="480"/>
      </w:pPr>
      <w:r>
        <w:rPr>
          <w:rFonts w:ascii="仿宋_GB2312" w:hAnsi="仿宋_GB2312" w:cs="仿宋_GB2312" w:eastAsia="仿宋_GB2312"/>
        </w:rPr>
        <w:t>三、中标通知书对采购人和中标供应商均具有法律效力。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一、采购人应在中标通知书发出之日起三十日内与中标人签订采购合同。</w:t>
      </w:r>
    </w:p>
    <w:p>
      <w:pPr>
        <w:pStyle w:val="null3"/>
        <w:ind w:firstLine="480"/>
      </w:pPr>
      <w:r>
        <w:rPr>
          <w:rFonts w:ascii="仿宋_GB2312" w:hAnsi="仿宋_GB2312" w:cs="仿宋_GB2312" w:eastAsia="仿宋_GB2312"/>
        </w:rPr>
        <w:t>二、采购人和中标人签订的采购合同不得对招标文件确定的事项以及中标人的投标文件作实质性修改。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投标人根据招标文件的规定和采购项目的实际情况，拟在中标后将中标项目的非主体、非关键性工作分包的，应当在投标文件中载明分包承担主体，分包承担主体应当具备相应资质条件且不得再次分包。分包供应商履行的分包项目的品牌、规格型号及技术要求等，必须与中标的品牌、规格型号及技术要求一致。</w:t>
      </w:r>
    </w:p>
    <w:p>
      <w:pPr>
        <w:pStyle w:val="null3"/>
        <w:ind w:firstLine="480"/>
      </w:pPr>
      <w:r>
        <w:rPr>
          <w:rFonts w:ascii="仿宋_GB2312" w:hAnsi="仿宋_GB2312" w:cs="仿宋_GB2312" w:eastAsia="仿宋_GB2312"/>
        </w:rPr>
        <w:t>二、分包履行合同的部分应当为采购项目的非主体、非关键性工作，不属于中标人的主要合同义务。</w:t>
      </w:r>
    </w:p>
    <w:p>
      <w:pPr>
        <w:pStyle w:val="null3"/>
        <w:ind w:firstLine="480"/>
      </w:pPr>
      <w:r>
        <w:rPr>
          <w:rFonts w:ascii="仿宋_GB2312" w:hAnsi="仿宋_GB2312" w:cs="仿宋_GB2312" w:eastAsia="仿宋_GB2312"/>
        </w:rPr>
        <w:t>三、采购合同实行分包履行的，中标人就采购项目和分包项目向采购人负责，分包供应商就分包项目承担责任。</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pPr>
      <w:r>
        <w:rPr>
          <w:rFonts w:ascii="仿宋_GB2312" w:hAnsi="仿宋_GB2312" w:cs="仿宋_GB2312" w:eastAsia="仿宋_GB2312"/>
        </w:rPr>
        <w:t>采购包2：不允许合同分包。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一、严禁中标人将本项目转包。本项目所称转包，是指将本项目转给他人或者将本项目全部肢解以后以分包的名义分别转给他人的行为。</w:t>
      </w:r>
    </w:p>
    <w:p>
      <w:pPr>
        <w:pStyle w:val="null3"/>
        <w:ind w:firstLine="480"/>
      </w:pPr>
      <w:r>
        <w:rPr>
          <w:rFonts w:ascii="仿宋_GB2312" w:hAnsi="仿宋_GB2312" w:cs="仿宋_GB2312" w:eastAsia="仿宋_GB2312"/>
        </w:rPr>
        <w:t>二、中标人转包的，视同拒绝履行政府采购合同，将依法追究法律责任。</w:t>
      </w:r>
    </w:p>
    <w:p>
      <w:pPr>
        <w:pStyle w:val="null3"/>
        <w:outlineLvl w:val="3"/>
      </w:pPr>
      <w:r>
        <w:rPr>
          <w:rFonts w:ascii="仿宋_GB2312" w:hAnsi="仿宋_GB2312" w:cs="仿宋_GB2312" w:eastAsia="仿宋_GB2312"/>
          <w:sz w:val="24"/>
          <w:b/>
        </w:rPr>
        <w:t>2.6.3采购人增加合同标的的权利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采购合同履行过程中，采购人需要追加与合同标的相同的货物或者服务的，在不改变合同其他条款的前提下，可以与中标人协商签订补充合同，但所有补充合同的采购金额不得超过原合同采购金额的百分之十。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2.6.4履行合同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2.6.5履约验收方案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1.符合中华人民共和国国家安全质量标准、环保标准或行业标准（如双层床和储物柜需符合 QB/T2741-2013、GB18584-2001、GB/T 912-2008 等标准）。 2.符合招标文件中明确的技术参数与性能指标，及投标文件中承诺的各项要求。 3.验收结果需满足合同中关于质量、数量、交付时间等商务条款的约定。</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1.钢材材质与工艺：符合 GB/T 912-2008《碳素结构钢和低合金结构钢热轧薄钢板和钢带》、GB/T 3094-2012《冷拔异型钢管》、GB/T3324-2008《金属家具通用技术条件》、GB/T3325-2017《金属家具通用技术条件》。 环保与安全：符合 GB18584-2001《室内装饰装修材料 木家具中有害物质限量》（可溶性重金属、甲醛等）、QB/T2741-2013《家具 床类主要尺寸》。 饮水机：符合 GB 4706.1-2005《家用和类似用途电器的安全 第 1 部分：通用要求》、GB 4706.42-2007《家用和类似用途电器的安全 冷热饮水机的特殊要求》。 2、招标文件与合同约定标准 设备参数：完全满足招标文件 “采购需求” 中技术参数要求（含带 “★” 的关键项），无负偏离；投标文件承诺的优于招标文件的参数，需按承诺验收。 商务要求：交付时限、付款条件（验收合格后一次性付清）、质保期（3 年）、售后服务响应时间等需严格符合合同约定。</w:t>
      </w:r>
    </w:p>
    <w:p>
      <w:pPr>
        <w:pStyle w:val="null3"/>
        <w:outlineLvl w:val="3"/>
      </w:pPr>
      <w:r>
        <w:rPr>
          <w:rFonts w:ascii="仿宋_GB2312" w:hAnsi="仿宋_GB2312" w:cs="仿宋_GB2312" w:eastAsia="仿宋_GB2312"/>
          <w:sz w:val="24"/>
          <w:b/>
        </w:rPr>
        <w:t>2.6.6资金支付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2.7.1评标活动纪律要求</w:t>
      </w:r>
    </w:p>
    <w:p>
      <w:pPr>
        <w:pStyle w:val="null3"/>
        <w:ind w:firstLine="480"/>
      </w:pPr>
      <w:r>
        <w:rPr>
          <w:rFonts w:ascii="仿宋_GB2312" w:hAnsi="仿宋_GB2312" w:cs="仿宋_GB2312" w:eastAsia="仿宋_GB2312"/>
        </w:rPr>
        <w:t xml:space="preserve"> 采购人、代理机构应保证评标活动在严格保密的情况下进行，采购人、代理机构、投标人和评标委员会成员应当严格遵守政府采购法律法规规章制度和本项目招标文件以及代理机构现场管理规定，接受采购人委派的监督人员的监督，任何单位和个人不得非法干预和影响评标过程和结果。对各投标人的商业秘密，评标委员会成员应予以保密，不得泄露给其他投标人。</w:t>
      </w:r>
    </w:p>
    <w:p>
      <w:pPr>
        <w:pStyle w:val="null3"/>
        <w:ind w:firstLine="480"/>
        <w:jc w:val="left"/>
      </w:pPr>
      <w:r>
        <w:rPr>
          <w:rFonts w:ascii="仿宋_GB2312" w:hAnsi="仿宋_GB2312" w:cs="仿宋_GB2312" w:eastAsia="仿宋_GB2312"/>
        </w:rPr>
        <w:t>对各投标人的商业秘密，评标委员会成员应予以保密，不得泄露给其他投标人。</w:t>
      </w:r>
    </w:p>
    <w:p>
      <w:pPr>
        <w:pStyle w:val="null3"/>
        <w:outlineLvl w:val="3"/>
      </w:pPr>
      <w:r>
        <w:rPr>
          <w:rFonts w:ascii="仿宋_GB2312" w:hAnsi="仿宋_GB2312" w:cs="仿宋_GB2312" w:eastAsia="仿宋_GB2312"/>
          <w:sz w:val="24"/>
          <w:b/>
        </w:rPr>
        <w:t xml:space="preserve"> 2.7.2投标人不得具有的情形（实质性要求）</w:t>
      </w:r>
    </w:p>
    <w:p>
      <w:pPr>
        <w:pStyle w:val="null3"/>
        <w:ind w:firstLine="480"/>
      </w:pPr>
      <w:r>
        <w:rPr>
          <w:rFonts w:ascii="仿宋_GB2312" w:hAnsi="仿宋_GB2312" w:cs="仿宋_GB2312" w:eastAsia="仿宋_GB2312"/>
        </w:rPr>
        <w:t>一、有下列情形之一的，视为投标人串通投标：</w:t>
      </w:r>
    </w:p>
    <w:p>
      <w:pPr>
        <w:pStyle w:val="null3"/>
        <w:ind w:firstLine="480"/>
      </w:pPr>
      <w:r>
        <w:rPr>
          <w:rFonts w:ascii="仿宋_GB2312" w:hAnsi="仿宋_GB2312" w:cs="仿宋_GB2312" w:eastAsia="仿宋_GB2312"/>
        </w:rPr>
        <w:t>（一）不同投标人的投标文件由同一单位或者个人编制；</w:t>
      </w:r>
    </w:p>
    <w:p>
      <w:pPr>
        <w:pStyle w:val="null3"/>
        <w:ind w:firstLine="480"/>
      </w:pPr>
      <w:r>
        <w:rPr>
          <w:rFonts w:ascii="仿宋_GB2312" w:hAnsi="仿宋_GB2312" w:cs="仿宋_GB2312" w:eastAsia="仿宋_GB2312"/>
        </w:rPr>
        <w:t>（二）不同投标人委托同一单位或者个人办理投标事宜；</w:t>
      </w:r>
    </w:p>
    <w:p>
      <w:pPr>
        <w:pStyle w:val="null3"/>
        <w:ind w:firstLine="480"/>
      </w:pPr>
      <w:r>
        <w:rPr>
          <w:rFonts w:ascii="仿宋_GB2312" w:hAnsi="仿宋_GB2312" w:cs="仿宋_GB2312" w:eastAsia="仿宋_GB2312"/>
        </w:rPr>
        <w:t>（三）不同投标人的投标文件载明的项目管理成员或者联系人员为同一人；</w:t>
      </w:r>
    </w:p>
    <w:p>
      <w:pPr>
        <w:pStyle w:val="null3"/>
        <w:ind w:firstLine="480"/>
      </w:pPr>
      <w:r>
        <w:rPr>
          <w:rFonts w:ascii="仿宋_GB2312" w:hAnsi="仿宋_GB2312" w:cs="仿宋_GB2312" w:eastAsia="仿宋_GB2312"/>
        </w:rPr>
        <w:t>（四）不同投标人的投标文件异常一致或者投标报价呈规律性差异；</w:t>
      </w:r>
    </w:p>
    <w:p>
      <w:pPr>
        <w:pStyle w:val="null3"/>
        <w:ind w:firstLine="480"/>
      </w:pPr>
      <w:r>
        <w:rPr>
          <w:rFonts w:ascii="仿宋_GB2312" w:hAnsi="仿宋_GB2312" w:cs="仿宋_GB2312" w:eastAsia="仿宋_GB2312"/>
        </w:rPr>
        <w:t>（五）不同投标人的投标文件相互混装。</w:t>
      </w:r>
    </w:p>
    <w:p>
      <w:pPr>
        <w:pStyle w:val="null3"/>
        <w:ind w:firstLine="480"/>
      </w:pPr>
      <w:r>
        <w:rPr>
          <w:rFonts w:ascii="仿宋_GB2312" w:hAnsi="仿宋_GB2312" w:cs="仿宋_GB2312" w:eastAsia="仿宋_GB2312"/>
        </w:rPr>
        <w:t>二、提供虚假材料谋取中标；</w:t>
      </w:r>
    </w:p>
    <w:p>
      <w:pPr>
        <w:pStyle w:val="null3"/>
        <w:ind w:firstLine="480"/>
      </w:pPr>
      <w:r>
        <w:rPr>
          <w:rFonts w:ascii="仿宋_GB2312" w:hAnsi="仿宋_GB2312" w:cs="仿宋_GB2312" w:eastAsia="仿宋_GB2312"/>
        </w:rPr>
        <w:t>三、采取不正当手段诋毁、排挤其他投标人；</w:t>
      </w:r>
    </w:p>
    <w:p>
      <w:pPr>
        <w:pStyle w:val="null3"/>
        <w:ind w:firstLine="480"/>
      </w:pPr>
      <w:r>
        <w:rPr>
          <w:rFonts w:ascii="仿宋_GB2312" w:hAnsi="仿宋_GB2312" w:cs="仿宋_GB2312" w:eastAsia="仿宋_GB2312"/>
        </w:rPr>
        <w:t>四、与采购人或代理机构、其他投标人恶意串通；</w:t>
      </w:r>
    </w:p>
    <w:p>
      <w:pPr>
        <w:pStyle w:val="null3"/>
        <w:ind w:firstLine="480"/>
      </w:pPr>
      <w:r>
        <w:rPr>
          <w:rFonts w:ascii="仿宋_GB2312" w:hAnsi="仿宋_GB2312" w:cs="仿宋_GB2312" w:eastAsia="仿宋_GB2312"/>
        </w:rPr>
        <w:t>五、向采购人或代理机构、评标委员会成员行贿或者提供其他不正当利益；</w:t>
      </w:r>
    </w:p>
    <w:p>
      <w:pPr>
        <w:pStyle w:val="null3"/>
        <w:ind w:firstLine="480"/>
      </w:pPr>
      <w:r>
        <w:rPr>
          <w:rFonts w:ascii="仿宋_GB2312" w:hAnsi="仿宋_GB2312" w:cs="仿宋_GB2312" w:eastAsia="仿宋_GB2312"/>
        </w:rPr>
        <w:t>六、在招标过程中与采购人或代理机构进行协商谈判；</w:t>
      </w:r>
    </w:p>
    <w:p>
      <w:pPr>
        <w:pStyle w:val="null3"/>
        <w:ind w:firstLine="480"/>
      </w:pPr>
      <w:r>
        <w:rPr>
          <w:rFonts w:ascii="仿宋_GB2312" w:hAnsi="仿宋_GB2312" w:cs="仿宋_GB2312" w:eastAsia="仿宋_GB2312"/>
        </w:rPr>
        <w:t>七、中标后无正当理由拒不与采购人签订政府采购合同；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投标人有上述情形的，按照规定追究法律责任，具备一至十一条情形之一的，其投标文件无效，或取消被确认为中标供应商的资格或认定中标无效。</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根据委托代理协议约定，供应商对招标文件中采购需求的询问、质疑由 </w:t>
      </w:r>
      <w:r>
        <w:rPr>
          <w:rFonts w:ascii="仿宋_GB2312" w:hAnsi="仿宋_GB2312" w:cs="仿宋_GB2312" w:eastAsia="仿宋_GB2312"/>
        </w:rPr>
        <w:t>西乡县第四中学</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西乡县政府采购预算评审中心</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西乡县政府采购预算评审中心</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为提高采购效率，降低社会成本，鼓励询问主体对于不损害国家及社会利益或自身合法权益的问题或情形采用询问方式处理解决（包含但不限于文字错误、标点符号、不影响投标文件的编制的情形）。</w:t>
      </w:r>
    </w:p>
    <w:p>
      <w:pPr>
        <w:pStyle w:val="null3"/>
        <w:ind w:firstLine="480"/>
      </w:pPr>
      <w:r>
        <w:rPr>
          <w:rFonts w:ascii="仿宋_GB2312" w:hAnsi="仿宋_GB2312" w:cs="仿宋_GB2312" w:eastAsia="仿宋_GB2312"/>
        </w:rPr>
        <w:t xml:space="preserve"> 四、供应商认为采购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jc w:val="left"/>
      </w:pPr>
      <w:r>
        <w:rPr>
          <w:rFonts w:ascii="仿宋_GB2312" w:hAnsi="仿宋_GB2312" w:cs="仿宋_GB2312" w:eastAsia="仿宋_GB2312"/>
        </w:rPr>
        <w:t>（一）对可以质疑的采购文件提出质疑的，为收到采购文件之日或者采购文件公告期限届满之日</w:t>
      </w:r>
    </w:p>
    <w:p>
      <w:pPr>
        <w:pStyle w:val="null3"/>
        <w:jc w:val="left"/>
      </w:pPr>
      <w:r>
        <w:rPr>
          <w:rFonts w:ascii="仿宋_GB2312" w:hAnsi="仿宋_GB2312" w:cs="仿宋_GB2312" w:eastAsia="仿宋_GB2312"/>
        </w:rPr>
        <w:t>（二）对采购过程提出质疑的，为各采购程序环节结束之日；</w:t>
      </w:r>
    </w:p>
    <w:p>
      <w:pPr>
        <w:pStyle w:val="null3"/>
        <w:jc w:val="left"/>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（一）质疑书正本1份；（政府采购供应商质疑函范本详见附件一）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（五）针对质疑事项必要的证明材料（针对招标文件提出的质疑，需提交从项目电子化交易系统获取的招标文件回执单）。</w:t>
      </w:r>
    </w:p>
    <w:p>
      <w:pPr>
        <w:pStyle w:val="null3"/>
      </w:pPr>
      <w:r>
        <w:rPr>
          <w:rFonts w:ascii="仿宋_GB2312" w:hAnsi="仿宋_GB2312" w:cs="仿宋_GB2312" w:eastAsia="仿宋_GB2312"/>
        </w:rPr>
        <w:t>答复主体：采购单位</w:t>
      </w:r>
    </w:p>
    <w:p>
      <w:pPr>
        <w:pStyle w:val="null3"/>
      </w:pPr>
      <w:r>
        <w:rPr>
          <w:rFonts w:ascii="仿宋_GB2312" w:hAnsi="仿宋_GB2312" w:cs="仿宋_GB2312" w:eastAsia="仿宋_GB2312"/>
        </w:rPr>
        <w:t>联系人：胡老师</w:t>
      </w:r>
    </w:p>
    <w:p>
      <w:pPr>
        <w:pStyle w:val="null3"/>
      </w:pPr>
      <w:r>
        <w:rPr>
          <w:rFonts w:ascii="仿宋_GB2312" w:hAnsi="仿宋_GB2312" w:cs="仿宋_GB2312" w:eastAsia="仿宋_GB2312"/>
        </w:rPr>
        <w:t>联系电话：13571688098</w:t>
      </w:r>
    </w:p>
    <w:p>
      <w:pPr>
        <w:pStyle w:val="null3"/>
      </w:pPr>
      <w:r>
        <w:rPr>
          <w:rFonts w:ascii="仿宋_GB2312" w:hAnsi="仿宋_GB2312" w:cs="仿宋_GB2312" w:eastAsia="仿宋_GB2312"/>
        </w:rPr>
        <w:t>地址：西乡县城街道办五渠村</w:t>
      </w:r>
    </w:p>
    <w:p>
      <w:pPr>
        <w:pStyle w:val="null3"/>
      </w:pPr>
      <w:r>
        <w:rPr>
          <w:rFonts w:ascii="仿宋_GB2312" w:hAnsi="仿宋_GB2312" w:cs="仿宋_GB2312" w:eastAsia="仿宋_GB2312"/>
        </w:rPr>
        <w:t>邮编：723500</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招标项目技术、服务、商务及其他要求</w:t>
      </w:r>
    </w:p>
    <w:p>
      <w:pPr>
        <w:pStyle w:val="null3"/>
        <w:ind w:firstLine="480"/>
      </w:pPr>
      <w:r>
        <w:rPr>
          <w:rFonts w:ascii="仿宋_GB2312" w:hAnsi="仿宋_GB2312" w:cs="仿宋_GB2312" w:eastAsia="仿宋_GB2312"/>
        </w:rPr>
        <w:t xml:space="preserve"> （注：当采购包的评标方法为综合评分法时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ind w:firstLine="480"/>
      </w:pPr>
      <w:r>
        <w:rPr>
          <w:rFonts w:ascii="仿宋_GB2312" w:hAnsi="仿宋_GB2312" w:cs="仿宋_GB2312" w:eastAsia="仿宋_GB2312"/>
        </w:rPr>
        <w:t xml:space="preserve"> （注：当采购包的评标方法为最低评标价法时带“★”的参数需求为实质性要求，供应商必须响应并满足的参数需求，采购人、采购代理机构应当根据项目实际需求合理设定，并明确具体要求。）</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为改善西乡县第四中学学生住宿条件和生活环境，拟采购双层床（含床板、床底鞋架）350架、床垫700张，储物柜256个，宿舍窗帘128套，饮水机5台，1.5P空调60台。促使学校环境和宿舍条件进一步改善。</w:t>
      </w:r>
    </w:p>
    <w:p>
      <w:pPr>
        <w:pStyle w:val="null3"/>
        <w:outlineLvl w:val="2"/>
      </w:pPr>
      <w:r>
        <w:rPr>
          <w:rFonts w:ascii="仿宋_GB2312" w:hAnsi="仿宋_GB2312" w:cs="仿宋_GB2312" w:eastAsia="仿宋_GB2312"/>
          <w:sz w:val="28"/>
          <w:b/>
        </w:rPr>
        <w:t>3.2采购内容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150,000.00</w:t>
      </w:r>
    </w:p>
    <w:p>
      <w:pPr>
        <w:pStyle w:val="null3"/>
      </w:pPr>
      <w:r>
        <w:rPr>
          <w:rFonts w:ascii="仿宋_GB2312" w:hAnsi="仿宋_GB2312" w:cs="仿宋_GB2312" w:eastAsia="仿宋_GB2312"/>
        </w:rPr>
        <w:t>采购包最高限价（元）: 150,000.00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空调</w:t>
            </w:r>
          </w:p>
        </w:tc>
        <w:tc>
          <w:tcPr>
            <w:tcW w:type="dxa" w:w="831"/>
          </w:tcPr>
          <w:p>
            <w:pPr>
              <w:pStyle w:val="null3"/>
              <w:jc w:val="right"/>
            </w:pPr>
            <w:r>
              <w:rPr>
                <w:rFonts w:ascii="仿宋_GB2312" w:hAnsi="仿宋_GB2312" w:cs="仿宋_GB2312" w:eastAsia="仿宋_GB2312"/>
              </w:rPr>
              <w:t>60.00</w:t>
            </w:r>
          </w:p>
        </w:tc>
        <w:tc>
          <w:tcPr>
            <w:tcW w:type="dxa" w:w="831"/>
          </w:tcPr>
          <w:p>
            <w:pPr>
              <w:pStyle w:val="null3"/>
              <w:jc w:val="right"/>
            </w:pPr>
            <w:r>
              <w:rPr>
                <w:rFonts w:ascii="仿宋_GB2312" w:hAnsi="仿宋_GB2312" w:cs="仿宋_GB2312" w:eastAsia="仿宋_GB2312"/>
              </w:rPr>
              <w:t>150,000.00</w:t>
            </w:r>
          </w:p>
        </w:tc>
        <w:tc>
          <w:tcPr>
            <w:tcW w:type="dxa" w:w="831"/>
          </w:tcPr>
          <w:p>
            <w:pPr>
              <w:pStyle w:val="null3"/>
            </w:pPr>
            <w:r>
              <w:rPr>
                <w:rFonts w:ascii="仿宋_GB2312" w:hAnsi="仿宋_GB2312" w:cs="仿宋_GB2312" w:eastAsia="仿宋_GB2312"/>
              </w:rPr>
              <w:t>台</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采购包预算金额（元）: 821,000.00</w:t>
      </w:r>
    </w:p>
    <w:p>
      <w:pPr>
        <w:pStyle w:val="null3"/>
      </w:pPr>
      <w:r>
        <w:rPr>
          <w:rFonts w:ascii="仿宋_GB2312" w:hAnsi="仿宋_GB2312" w:cs="仿宋_GB2312" w:eastAsia="仿宋_GB2312"/>
        </w:rPr>
        <w:t>采购包最高限价（元）: 821,000.00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双层床（含床板）</w:t>
            </w:r>
          </w:p>
        </w:tc>
        <w:tc>
          <w:tcPr>
            <w:tcW w:type="dxa" w:w="831"/>
          </w:tcPr>
          <w:p>
            <w:pPr>
              <w:pStyle w:val="null3"/>
              <w:jc w:val="right"/>
            </w:pPr>
            <w:r>
              <w:rPr>
                <w:rFonts w:ascii="仿宋_GB2312" w:hAnsi="仿宋_GB2312" w:cs="仿宋_GB2312" w:eastAsia="仿宋_GB2312"/>
              </w:rPr>
              <w:t>350.00</w:t>
            </w:r>
          </w:p>
        </w:tc>
        <w:tc>
          <w:tcPr>
            <w:tcW w:type="dxa" w:w="831"/>
          </w:tcPr>
          <w:p>
            <w:pPr>
              <w:pStyle w:val="null3"/>
              <w:jc w:val="right"/>
            </w:pPr>
            <w:r>
              <w:rPr>
                <w:rFonts w:ascii="仿宋_GB2312" w:hAnsi="仿宋_GB2312" w:cs="仿宋_GB2312" w:eastAsia="仿宋_GB2312"/>
              </w:rPr>
              <w:t>350,000.00</w:t>
            </w:r>
          </w:p>
        </w:tc>
        <w:tc>
          <w:tcPr>
            <w:tcW w:type="dxa" w:w="831"/>
          </w:tcPr>
          <w:p>
            <w:pPr>
              <w:pStyle w:val="null3"/>
            </w:pPr>
            <w:r>
              <w:rPr>
                <w:rFonts w:ascii="仿宋_GB2312" w:hAnsi="仿宋_GB2312" w:cs="仿宋_GB2312" w:eastAsia="仿宋_GB2312"/>
              </w:rPr>
              <w:t>架</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r>
        <w:tc>
          <w:tcPr>
            <w:tcW w:type="dxa" w:w="831"/>
          </w:tcPr>
          <w:p>
            <w:pPr>
              <w:pStyle w:val="null3"/>
            </w:pPr>
            <w:r>
              <w:rPr>
                <w:rFonts w:ascii="仿宋_GB2312" w:hAnsi="仿宋_GB2312" w:cs="仿宋_GB2312" w:eastAsia="仿宋_GB2312"/>
              </w:rPr>
              <w:t>2</w:t>
            </w:r>
          </w:p>
        </w:tc>
        <w:tc>
          <w:tcPr>
            <w:tcW w:type="dxa" w:w="831"/>
          </w:tcPr>
          <w:p>
            <w:pPr>
              <w:pStyle w:val="null3"/>
            </w:pPr>
            <w:r>
              <w:rPr>
                <w:rFonts w:ascii="仿宋_GB2312" w:hAnsi="仿宋_GB2312" w:cs="仿宋_GB2312" w:eastAsia="仿宋_GB2312"/>
              </w:rPr>
              <w:t>储物柜</w:t>
            </w:r>
          </w:p>
        </w:tc>
        <w:tc>
          <w:tcPr>
            <w:tcW w:type="dxa" w:w="831"/>
          </w:tcPr>
          <w:p>
            <w:pPr>
              <w:pStyle w:val="null3"/>
              <w:jc w:val="right"/>
            </w:pPr>
            <w:r>
              <w:rPr>
                <w:rFonts w:ascii="仿宋_GB2312" w:hAnsi="仿宋_GB2312" w:cs="仿宋_GB2312" w:eastAsia="仿宋_GB2312"/>
              </w:rPr>
              <w:t>256.00</w:t>
            </w:r>
          </w:p>
        </w:tc>
        <w:tc>
          <w:tcPr>
            <w:tcW w:type="dxa" w:w="831"/>
          </w:tcPr>
          <w:p>
            <w:pPr>
              <w:pStyle w:val="null3"/>
              <w:jc w:val="right"/>
            </w:pPr>
            <w:r>
              <w:rPr>
                <w:rFonts w:ascii="仿宋_GB2312" w:hAnsi="仿宋_GB2312" w:cs="仿宋_GB2312" w:eastAsia="仿宋_GB2312"/>
              </w:rPr>
              <w:t>256,000.00</w:t>
            </w:r>
          </w:p>
        </w:tc>
        <w:tc>
          <w:tcPr>
            <w:tcW w:type="dxa" w:w="831"/>
          </w:tcPr>
          <w:p>
            <w:pPr>
              <w:pStyle w:val="null3"/>
            </w:pPr>
            <w:r>
              <w:rPr>
                <w:rFonts w:ascii="仿宋_GB2312" w:hAnsi="仿宋_GB2312" w:cs="仿宋_GB2312" w:eastAsia="仿宋_GB2312"/>
              </w:rPr>
              <w:t>个</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r>
        <w:tc>
          <w:tcPr>
            <w:tcW w:type="dxa" w:w="831"/>
          </w:tcPr>
          <w:p>
            <w:pPr>
              <w:pStyle w:val="null3"/>
            </w:pPr>
            <w:r>
              <w:rPr>
                <w:rFonts w:ascii="仿宋_GB2312" w:hAnsi="仿宋_GB2312" w:cs="仿宋_GB2312" w:eastAsia="仿宋_GB2312"/>
              </w:rPr>
              <w:t>3</w:t>
            </w:r>
          </w:p>
        </w:tc>
        <w:tc>
          <w:tcPr>
            <w:tcW w:type="dxa" w:w="831"/>
          </w:tcPr>
          <w:p>
            <w:pPr>
              <w:pStyle w:val="null3"/>
            </w:pPr>
            <w:r>
              <w:rPr>
                <w:rFonts w:ascii="仿宋_GB2312" w:hAnsi="仿宋_GB2312" w:cs="仿宋_GB2312" w:eastAsia="仿宋_GB2312"/>
              </w:rPr>
              <w:t>床垫</w:t>
            </w:r>
          </w:p>
        </w:tc>
        <w:tc>
          <w:tcPr>
            <w:tcW w:type="dxa" w:w="831"/>
          </w:tcPr>
          <w:p>
            <w:pPr>
              <w:pStyle w:val="null3"/>
              <w:jc w:val="right"/>
            </w:pPr>
            <w:r>
              <w:rPr>
                <w:rFonts w:ascii="仿宋_GB2312" w:hAnsi="仿宋_GB2312" w:cs="仿宋_GB2312" w:eastAsia="仿宋_GB2312"/>
              </w:rPr>
              <w:t>700.00</w:t>
            </w:r>
          </w:p>
        </w:tc>
        <w:tc>
          <w:tcPr>
            <w:tcW w:type="dxa" w:w="831"/>
          </w:tcPr>
          <w:p>
            <w:pPr>
              <w:pStyle w:val="null3"/>
              <w:jc w:val="right"/>
            </w:pPr>
            <w:r>
              <w:rPr>
                <w:rFonts w:ascii="仿宋_GB2312" w:hAnsi="仿宋_GB2312" w:cs="仿宋_GB2312" w:eastAsia="仿宋_GB2312"/>
              </w:rPr>
              <w:t>140,000.00</w:t>
            </w:r>
          </w:p>
        </w:tc>
        <w:tc>
          <w:tcPr>
            <w:tcW w:type="dxa" w:w="831"/>
          </w:tcPr>
          <w:p>
            <w:pPr>
              <w:pStyle w:val="null3"/>
            </w:pPr>
            <w:r>
              <w:rPr>
                <w:rFonts w:ascii="仿宋_GB2312" w:hAnsi="仿宋_GB2312" w:cs="仿宋_GB2312" w:eastAsia="仿宋_GB2312"/>
              </w:rPr>
              <w:t>张</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r>
        <w:tc>
          <w:tcPr>
            <w:tcW w:type="dxa" w:w="831"/>
          </w:tcPr>
          <w:p>
            <w:pPr>
              <w:pStyle w:val="null3"/>
            </w:pPr>
            <w:r>
              <w:rPr>
                <w:rFonts w:ascii="仿宋_GB2312" w:hAnsi="仿宋_GB2312" w:cs="仿宋_GB2312" w:eastAsia="仿宋_GB2312"/>
              </w:rPr>
              <w:t>4</w:t>
            </w:r>
          </w:p>
        </w:tc>
        <w:tc>
          <w:tcPr>
            <w:tcW w:type="dxa" w:w="831"/>
          </w:tcPr>
          <w:p>
            <w:pPr>
              <w:pStyle w:val="null3"/>
            </w:pPr>
            <w:r>
              <w:rPr>
                <w:rFonts w:ascii="仿宋_GB2312" w:hAnsi="仿宋_GB2312" w:cs="仿宋_GB2312" w:eastAsia="仿宋_GB2312"/>
              </w:rPr>
              <w:t>窗帘</w:t>
            </w:r>
          </w:p>
        </w:tc>
        <w:tc>
          <w:tcPr>
            <w:tcW w:type="dxa" w:w="831"/>
          </w:tcPr>
          <w:p>
            <w:pPr>
              <w:pStyle w:val="null3"/>
              <w:jc w:val="right"/>
            </w:pPr>
            <w:r>
              <w:rPr>
                <w:rFonts w:ascii="仿宋_GB2312" w:hAnsi="仿宋_GB2312" w:cs="仿宋_GB2312" w:eastAsia="仿宋_GB2312"/>
              </w:rPr>
              <w:t>128.00</w:t>
            </w:r>
          </w:p>
        </w:tc>
        <w:tc>
          <w:tcPr>
            <w:tcW w:type="dxa" w:w="831"/>
          </w:tcPr>
          <w:p>
            <w:pPr>
              <w:pStyle w:val="null3"/>
              <w:jc w:val="right"/>
            </w:pPr>
            <w:r>
              <w:rPr>
                <w:rFonts w:ascii="仿宋_GB2312" w:hAnsi="仿宋_GB2312" w:cs="仿宋_GB2312" w:eastAsia="仿宋_GB2312"/>
              </w:rPr>
              <w:t>25,000.00</w:t>
            </w:r>
          </w:p>
        </w:tc>
        <w:tc>
          <w:tcPr>
            <w:tcW w:type="dxa" w:w="831"/>
          </w:tcPr>
          <w:p>
            <w:pPr>
              <w:pStyle w:val="null3"/>
            </w:pPr>
            <w:r>
              <w:rPr>
                <w:rFonts w:ascii="仿宋_GB2312" w:hAnsi="仿宋_GB2312" w:cs="仿宋_GB2312" w:eastAsia="仿宋_GB2312"/>
              </w:rPr>
              <w:t>副</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r>
        <w:tc>
          <w:tcPr>
            <w:tcW w:type="dxa" w:w="831"/>
          </w:tcPr>
          <w:p>
            <w:pPr>
              <w:pStyle w:val="null3"/>
            </w:pPr>
            <w:r>
              <w:rPr>
                <w:rFonts w:ascii="仿宋_GB2312" w:hAnsi="仿宋_GB2312" w:cs="仿宋_GB2312" w:eastAsia="仿宋_GB2312"/>
              </w:rPr>
              <w:t>5</w:t>
            </w:r>
          </w:p>
        </w:tc>
        <w:tc>
          <w:tcPr>
            <w:tcW w:type="dxa" w:w="831"/>
          </w:tcPr>
          <w:p>
            <w:pPr>
              <w:pStyle w:val="null3"/>
            </w:pPr>
            <w:r>
              <w:rPr>
                <w:rFonts w:ascii="仿宋_GB2312" w:hAnsi="仿宋_GB2312" w:cs="仿宋_GB2312" w:eastAsia="仿宋_GB2312"/>
              </w:rPr>
              <w:t>饮水机</w:t>
            </w:r>
          </w:p>
        </w:tc>
        <w:tc>
          <w:tcPr>
            <w:tcW w:type="dxa" w:w="831"/>
          </w:tcPr>
          <w:p>
            <w:pPr>
              <w:pStyle w:val="null3"/>
              <w:jc w:val="right"/>
            </w:pPr>
            <w:r>
              <w:rPr>
                <w:rFonts w:ascii="仿宋_GB2312" w:hAnsi="仿宋_GB2312" w:cs="仿宋_GB2312" w:eastAsia="仿宋_GB2312"/>
              </w:rPr>
              <w:t>5.00</w:t>
            </w:r>
          </w:p>
        </w:tc>
        <w:tc>
          <w:tcPr>
            <w:tcW w:type="dxa" w:w="831"/>
          </w:tcPr>
          <w:p>
            <w:pPr>
              <w:pStyle w:val="null3"/>
              <w:jc w:val="right"/>
            </w:pPr>
            <w:r>
              <w:rPr>
                <w:rFonts w:ascii="仿宋_GB2312" w:hAnsi="仿宋_GB2312" w:cs="仿宋_GB2312" w:eastAsia="仿宋_GB2312"/>
              </w:rPr>
              <w:t>50,000.00</w:t>
            </w:r>
          </w:p>
        </w:tc>
        <w:tc>
          <w:tcPr>
            <w:tcW w:type="dxa" w:w="831"/>
          </w:tcPr>
          <w:p>
            <w:pPr>
              <w:pStyle w:val="null3"/>
            </w:pPr>
            <w:r>
              <w:rPr>
                <w:rFonts w:ascii="仿宋_GB2312" w:hAnsi="仿宋_GB2312" w:cs="仿宋_GB2312" w:eastAsia="仿宋_GB2312"/>
              </w:rPr>
              <w:t>台</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3.3技术要求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标的名称：空调</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pPr>
              <w:pStyle w:val="null3"/>
            </w:pPr>
            <w:r>
              <w:rPr>
                <w:rFonts w:ascii="仿宋_GB2312" w:hAnsi="仿宋_GB2312" w:cs="仿宋_GB2312" w:eastAsia="仿宋_GB2312"/>
              </w:rPr>
              <w:t>▲</w:t>
            </w:r>
          </w:p>
        </w:tc>
        <w:tc>
          <w:tcPr>
            <w:tcW w:type="dxa" w:w="2769"/>
          </w:tcPr>
          <w:p>
            <w:pPr>
              <w:pStyle w:val="null3"/>
              <w:jc w:val="both"/>
            </w:pPr>
            <w:r>
              <w:rPr>
                <w:rFonts w:ascii="仿宋_GB2312" w:hAnsi="仿宋_GB2312" w:cs="仿宋_GB2312" w:eastAsia="仿宋_GB2312"/>
              </w:rPr>
              <w:t>1.颜色：白色。</w:t>
            </w:r>
          </w:p>
          <w:p>
            <w:pPr>
              <w:pStyle w:val="null3"/>
            </w:pPr>
            <w:r>
              <w:rPr>
                <w:rFonts w:ascii="仿宋_GB2312" w:hAnsi="仿宋_GB2312" w:cs="仿宋_GB2312" w:eastAsia="仿宋_GB2312"/>
              </w:rPr>
              <w:t>2.性能：KFR-35GW；冷媒R32；</w:t>
            </w:r>
          </w:p>
          <w:p>
            <w:pPr>
              <w:pStyle w:val="null3"/>
            </w:pPr>
            <w:r>
              <w:rPr>
                <w:rFonts w:ascii="仿宋_GB2312" w:hAnsi="仿宋_GB2312" w:cs="仿宋_GB2312" w:eastAsia="仿宋_GB2312"/>
              </w:rPr>
              <w:t>3.制冷量(W)：≥3530(200-4600)；</w:t>
            </w:r>
          </w:p>
          <w:p>
            <w:pPr>
              <w:pStyle w:val="null3"/>
            </w:pPr>
            <w:r>
              <w:rPr>
                <w:rFonts w:ascii="仿宋_GB2312" w:hAnsi="仿宋_GB2312" w:cs="仿宋_GB2312" w:eastAsia="仿宋_GB2312"/>
              </w:rPr>
              <w:t>4.制热量(W)：≥5000(200-6210)；</w:t>
            </w:r>
          </w:p>
          <w:p>
            <w:pPr>
              <w:pStyle w:val="null3"/>
            </w:pPr>
            <w:r>
              <w:rPr>
                <w:rFonts w:ascii="仿宋_GB2312" w:hAnsi="仿宋_GB2312" w:cs="仿宋_GB2312" w:eastAsia="仿宋_GB2312"/>
              </w:rPr>
              <w:t>5.能效值：5.30；</w:t>
            </w:r>
          </w:p>
          <w:p>
            <w:pPr>
              <w:pStyle w:val="null3"/>
            </w:pPr>
            <w:r>
              <w:rPr>
                <w:rFonts w:ascii="仿宋_GB2312" w:hAnsi="仿宋_GB2312" w:cs="仿宋_GB2312" w:eastAsia="仿宋_GB2312"/>
              </w:rPr>
              <w:t>6.循环风量（m³/h）：≥800；</w:t>
            </w:r>
          </w:p>
          <w:p>
            <w:pPr>
              <w:pStyle w:val="null3"/>
            </w:pPr>
            <w:r>
              <w:rPr>
                <w:rFonts w:ascii="仿宋_GB2312" w:hAnsi="仿宋_GB2312" w:cs="仿宋_GB2312" w:eastAsia="仿宋_GB2312"/>
              </w:rPr>
              <w:t>7.除湿量(L/h)：≥1.5</w:t>
            </w:r>
          </w:p>
        </w:tc>
      </w:tr>
      <w:tr>
        <w:tc>
          <w:tcPr>
            <w:tcW w:type="dxa" w:w="2769"/>
          </w:tcPr>
          <w:p>
            <w:pPr>
              <w:pStyle w:val="null3"/>
            </w:pPr>
            <w:r>
              <w:rPr>
                <w:rFonts w:ascii="仿宋_GB2312" w:hAnsi="仿宋_GB2312" w:cs="仿宋_GB2312" w:eastAsia="仿宋_GB2312"/>
              </w:rPr>
              <w:t>2</w:t>
            </w:r>
          </w:p>
        </w:tc>
        <w:tc>
          <w:tcPr>
            <w:tcW w:type="dxa" w:w="2769"/>
          </w:tcPr>
          <w:p>
            <w:pPr>
              <w:pStyle w:val="null3"/>
            </w:pPr>
            <w:r>
              <w:rPr>
                <w:rFonts w:ascii="仿宋_GB2312" w:hAnsi="仿宋_GB2312" w:cs="仿宋_GB2312" w:eastAsia="仿宋_GB2312"/>
              </w:rPr>
              <w:t>★</w:t>
            </w:r>
          </w:p>
        </w:tc>
        <w:tc>
          <w:tcPr>
            <w:tcW w:type="dxa" w:w="2769"/>
          </w:tcPr>
          <w:p>
            <w:pPr>
              <w:pStyle w:val="null3"/>
              <w:jc w:val="both"/>
            </w:pPr>
            <w:r>
              <w:rPr>
                <w:rFonts w:ascii="仿宋_GB2312" w:hAnsi="仿宋_GB2312" w:cs="仿宋_GB2312" w:eastAsia="仿宋_GB2312"/>
                <w:sz w:val="21"/>
              </w:rPr>
              <w:t>能效等级：</w:t>
            </w:r>
            <w:r>
              <w:rPr>
                <w:rFonts w:ascii="仿宋_GB2312" w:hAnsi="仿宋_GB2312" w:cs="仿宋_GB2312" w:eastAsia="仿宋_GB2312"/>
                <w:sz w:val="21"/>
              </w:rPr>
              <w:t>1级</w:t>
            </w:r>
          </w:p>
        </w:tc>
      </w:tr>
    </w:tbl>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标的名称：双层床（含床板）</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rPr>
                <w:rFonts w:ascii="仿宋_GB2312" w:hAnsi="仿宋_GB2312" w:cs="仿宋_GB2312" w:eastAsia="仿宋_GB2312"/>
              </w:rPr>
              <w:t>1.颜色：白色，</w:t>
            </w:r>
            <w:r>
              <w:br/>
            </w:r>
            <w:r>
              <w:rPr>
                <w:rFonts w:ascii="仿宋_GB2312" w:hAnsi="仿宋_GB2312" w:cs="仿宋_GB2312" w:eastAsia="仿宋_GB2312"/>
              </w:rPr>
              <w:t xml:space="preserve"> 2.规格：双层床规格2000mm*800mm*2000mm(±5mm)；</w:t>
            </w:r>
            <w:r>
              <w:br/>
            </w:r>
            <w:r>
              <w:rPr>
                <w:rFonts w:ascii="仿宋_GB2312" w:hAnsi="仿宋_GB2312" w:cs="仿宋_GB2312" w:eastAsia="仿宋_GB2312"/>
              </w:rPr>
              <w:t xml:space="preserve"> 3.立柱： 70mm*70mm(±2)“C”型闭口管---立柱管</w:t>
            </w:r>
          </w:p>
          <w:p>
            <w:pPr>
              <w:pStyle w:val="null3"/>
            </w:pPr>
            <w:r>
              <w:drawing>
                <wp:inline distT="0" distR="0" distB="0" distL="0">
                  <wp:extent cx="1621155" cy="471963"/>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471963"/>
                          </a:xfrm>
                          <a:prstGeom prst="rect">
                            <a:avLst/>
                          </a:prstGeom>
                        </pic:spPr>
                      </pic:pic>
                    </a:graphicData>
                  </a:graphic>
                </wp:inline>
              </w:drawing>
            </w:r>
            <w:r>
              <w:rPr>
                <w:rFonts w:ascii="仿宋_GB2312" w:hAnsi="仿宋_GB2312" w:cs="仿宋_GB2312" w:eastAsia="仿宋_GB2312"/>
              </w:rPr>
              <w:t xml:space="preserve">            </w:t>
            </w:r>
            <w:r>
              <w:br/>
            </w:r>
            <w:r>
              <w:rPr>
                <w:rFonts w:ascii="仿宋_GB2312" w:hAnsi="仿宋_GB2312" w:cs="仿宋_GB2312" w:eastAsia="仿宋_GB2312"/>
              </w:rPr>
              <w:t xml:space="preserve"> 立柱采用优质spcc一级冷轧钢双面处理成型，成型后为“C”型封闭管，正面有两条加强筋，且与横梁卡扣持平。</w:t>
            </w:r>
            <w:r>
              <w:br/>
            </w:r>
            <w:r>
              <w:rPr>
                <w:rFonts w:ascii="仿宋_GB2312" w:hAnsi="仿宋_GB2312" w:cs="仿宋_GB2312" w:eastAsia="仿宋_GB2312"/>
              </w:rPr>
              <w:t xml:space="preserve"> 立柱正面为圆弧形，成型后截面尺寸为70mm*70mm(±2)，与横梁连接面的宽度为29mm，厚度1.2mm（正负0.02）；</w:t>
            </w:r>
            <w:r>
              <w:br/>
            </w:r>
            <w:r>
              <w:rPr>
                <w:rFonts w:ascii="仿宋_GB2312" w:hAnsi="仿宋_GB2312" w:cs="仿宋_GB2312" w:eastAsia="仿宋_GB2312"/>
              </w:rPr>
              <w:t xml:space="preserve">  4.床边护栏：</w:t>
            </w:r>
            <w:r>
              <w:br/>
            </w:r>
            <w:r>
              <w:rPr>
                <w:rFonts w:ascii="仿宋_GB2312" w:hAnsi="仿宋_GB2312" w:cs="仿宋_GB2312" w:eastAsia="仿宋_GB2312"/>
              </w:rPr>
              <w:t xml:space="preserve"> 采用直径≥22mm*1.0mm的优质圆管弯制的整体护栏，护栏高度≥300mm。</w:t>
            </w:r>
            <w:r>
              <w:br/>
            </w:r>
            <w:r>
              <w:rPr>
                <w:rFonts w:ascii="仿宋_GB2312" w:hAnsi="仿宋_GB2312" w:cs="仿宋_GB2312" w:eastAsia="仿宋_GB2312"/>
              </w:rPr>
              <w:t xml:space="preserve"> 5.床头护栏：</w:t>
            </w:r>
            <w:r>
              <w:br/>
            </w:r>
            <w:r>
              <w:rPr>
                <w:rFonts w:ascii="仿宋_GB2312" w:hAnsi="仿宋_GB2312" w:cs="仿宋_GB2312" w:eastAsia="仿宋_GB2312"/>
              </w:rPr>
              <w:t xml:space="preserve"> 上横管采用≥58mm*22mm的“D”型管，竖管采用≥30mm*15mm的椭圆管。</w:t>
            </w:r>
            <w:r>
              <w:br/>
            </w:r>
            <w:r>
              <w:rPr>
                <w:rFonts w:ascii="仿宋_GB2312" w:hAnsi="仿宋_GB2312" w:cs="仿宋_GB2312" w:eastAsia="仿宋_GB2312"/>
              </w:rPr>
              <w:t xml:space="preserve"> 6.横梁连接件：</w:t>
            </w:r>
          </w:p>
          <w:p>
            <w:pPr>
              <w:pStyle w:val="null3"/>
            </w:pPr>
            <w:r>
              <w:drawing>
                <wp:inline distT="0" distR="0" distB="0" distL="0">
                  <wp:extent cx="1621155" cy="437191"/>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437191"/>
                          </a:xfrm>
                          <a:prstGeom prst="rect">
                            <a:avLst/>
                          </a:prstGeom>
                        </pic:spPr>
                      </pic:pic>
                    </a:graphicData>
                  </a:graphic>
                </wp:inline>
              </w:drawing>
            </w:r>
            <w:r>
              <w:br/>
            </w:r>
            <w:r>
              <w:rPr>
                <w:rFonts w:ascii="仿宋_GB2312" w:hAnsi="仿宋_GB2312" w:cs="仿宋_GB2312" w:eastAsia="仿宋_GB2312"/>
              </w:rPr>
              <w:t xml:space="preserve"> 横梁与立柱之间连接采用四片内嵌卡扣式连接件，四孔卡扣满焊连接，不能漏焊或者留空隙。连接件材料采用2.0mm（±1）厚冷轧钢板一体成，卡扣式连接件规格为280mm*29mm*29mm（±1）；</w:t>
            </w:r>
            <w:r>
              <w:br/>
            </w:r>
            <w:r>
              <w:rPr>
                <w:rFonts w:ascii="仿宋_GB2312" w:hAnsi="仿宋_GB2312" w:cs="仿宋_GB2312" w:eastAsia="仿宋_GB2312"/>
              </w:rPr>
              <w:t xml:space="preserve"> 7.胶套：立柱上端及下端均采用塑料套（塞），形状与立柱完全吻合。</w:t>
            </w:r>
          </w:p>
          <w:p>
            <w:pPr>
              <w:pStyle w:val="null3"/>
            </w:pPr>
            <w:r>
              <w:drawing>
                <wp:inline distT="0" distR="0" distB="0" distL="0">
                  <wp:extent cx="1621155" cy="70721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707215"/>
                          </a:xfrm>
                          <a:prstGeom prst="rect">
                            <a:avLst/>
                          </a:prstGeom>
                        </pic:spPr>
                      </pic:pic>
                    </a:graphicData>
                  </a:graphic>
                </wp:inline>
              </w:drawing>
            </w:r>
            <w:r>
              <w:br/>
            </w:r>
            <w:r>
              <w:rPr>
                <w:rFonts w:ascii="仿宋_GB2312" w:hAnsi="仿宋_GB2312" w:cs="仿宋_GB2312" w:eastAsia="仿宋_GB2312"/>
              </w:rPr>
              <w:t xml:space="preserve"> 8.鞋架：尺寸1835mm*600mm*100mm(±5mm)；采用≥30mm*30mm的优质方管制作。</w:t>
            </w:r>
            <w:r>
              <w:br/>
            </w:r>
            <w:r>
              <w:rPr>
                <w:rFonts w:ascii="仿宋_GB2312" w:hAnsi="仿宋_GB2312" w:cs="仿宋_GB2312" w:eastAsia="仿宋_GB2312"/>
              </w:rPr>
              <w:t xml:space="preserve"> 9.床板：</w:t>
            </w:r>
            <w:r>
              <w:br/>
            </w:r>
            <w:r>
              <w:rPr>
                <w:rFonts w:ascii="仿宋_GB2312" w:hAnsi="仿宋_GB2312" w:cs="仿宋_GB2312" w:eastAsia="仿宋_GB2312"/>
              </w:rPr>
              <w:t xml:space="preserve"> 尺寸：1930mm*740mm*12mm（±2mm）；与床体吻合。</w:t>
            </w:r>
            <w:r>
              <w:br/>
            </w:r>
            <w:r>
              <w:rPr>
                <w:rFonts w:ascii="仿宋_GB2312" w:hAnsi="仿宋_GB2312" w:cs="仿宋_GB2312" w:eastAsia="仿宋_GB2312"/>
              </w:rPr>
              <w:t xml:space="preserve"> 颜色：原木色。</w:t>
            </w:r>
            <w:r>
              <w:br/>
            </w:r>
            <w:r>
              <w:rPr>
                <w:rFonts w:ascii="仿宋_GB2312" w:hAnsi="仿宋_GB2312" w:cs="仿宋_GB2312" w:eastAsia="仿宋_GB2312"/>
              </w:rPr>
              <w:t xml:space="preserve"> 材质：采用天然板材不超过8块杉木板拼装而成。</w:t>
            </w:r>
          </w:p>
        </w:tc>
      </w:tr>
      <w:tr>
        <w:tc>
          <w:tcPr>
            <w:tcW w:type="dxa" w:w="2769"/>
          </w:tcPr>
          <w:p>
            <w:pPr>
              <w:pStyle w:val="null3"/>
            </w:pPr>
            <w:r>
              <w:rPr>
                <w:rFonts w:ascii="仿宋_GB2312" w:hAnsi="仿宋_GB2312" w:cs="仿宋_GB2312" w:eastAsia="仿宋_GB2312"/>
              </w:rPr>
              <w:t>2</w:t>
            </w:r>
          </w:p>
        </w:tc>
        <w:tc>
          <w:tcPr>
            <w:tcW w:type="dxa" w:w="2769"/>
          </w:tcPr>
          <w:p>
            <w:pPr>
              <w:pStyle w:val="null3"/>
            </w:pPr>
            <w:r>
              <w:rPr>
                <w:rFonts w:ascii="仿宋_GB2312" w:hAnsi="仿宋_GB2312" w:cs="仿宋_GB2312" w:eastAsia="仿宋_GB2312"/>
              </w:rPr>
              <w:t>★</w:t>
            </w:r>
          </w:p>
        </w:tc>
        <w:tc>
          <w:tcPr>
            <w:tcW w:type="dxa" w:w="2769"/>
          </w:tcPr>
          <w:p>
            <w:pPr>
              <w:pStyle w:val="null3"/>
              <w:jc w:val="both"/>
            </w:pPr>
            <w:r>
              <w:rPr>
                <w:rFonts w:ascii="仿宋_GB2312" w:hAnsi="仿宋_GB2312" w:cs="仿宋_GB2312" w:eastAsia="仿宋_GB2312"/>
              </w:rPr>
              <w:t>1、横梁：100mm*40mm(±2mm))“Q”型闭口管—横梁管.，横梁底部人体接触面为弧形；横梁内直角，承载床板支撑梁，横梁内直角放床位必须和支撑梁持平，高矮一致.</w:t>
            </w:r>
          </w:p>
          <w:p>
            <w:pPr>
              <w:pStyle w:val="null3"/>
              <w:jc w:val="both"/>
            </w:pPr>
            <w:r>
              <w:drawing>
                <wp:inline distT="0" distR="0" distB="0" distL="0">
                  <wp:extent cx="1621155" cy="528685"/>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621155" cy="528685"/>
                          </a:xfrm>
                          <a:prstGeom prst="rect">
                            <a:avLst/>
                          </a:prstGeom>
                        </pic:spPr>
                      </pic:pic>
                    </a:graphicData>
                  </a:graphic>
                </wp:inline>
              </w:drawing>
            </w:r>
            <w:r>
              <w:br/>
            </w:r>
            <w:r>
              <w:rPr>
                <w:rFonts w:ascii="仿宋_GB2312" w:hAnsi="仿宋_GB2312" w:cs="仿宋_GB2312" w:eastAsia="仿宋_GB2312"/>
              </w:rPr>
              <w:t xml:space="preserve"> 2.床板支撑梁:采用≥58mm*22mm“D”型管，“D”型管的床板支撑梁由成型机成型，设计有左右各两条加强筋，厚度1.0mm（正负0.02）。</w:t>
            </w:r>
          </w:p>
          <w:p>
            <w:pPr>
              <w:pStyle w:val="null3"/>
              <w:jc w:val="both"/>
            </w:pPr>
            <w:r>
              <w:drawing>
                <wp:inline distT="0" distR="0" distB="0" distL="0">
                  <wp:extent cx="1621155" cy="419058"/>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621155" cy="419058"/>
                          </a:xfrm>
                          <a:prstGeom prst="rect">
                            <a:avLst/>
                          </a:prstGeom>
                        </pic:spPr>
                      </pic:pic>
                    </a:graphicData>
                  </a:graphic>
                </wp:inline>
              </w:drawing>
            </w:r>
            <w:r>
              <w:br/>
            </w:r>
            <w:r>
              <w:rPr>
                <w:rFonts w:ascii="仿宋_GB2312" w:hAnsi="仿宋_GB2312" w:cs="仿宋_GB2312" w:eastAsia="仿宋_GB2312"/>
              </w:rPr>
              <w:t xml:space="preserve"> 3.床板支撑梁与床横梁之间采用从上往下卡扣式的连接方式，底部人体接触面为圆弧形，支撑梁卡紧和横梁凹下放床板位必须一样平。</w:t>
            </w:r>
          </w:p>
          <w:p>
            <w:pPr>
              <w:pStyle w:val="null3"/>
              <w:jc w:val="both"/>
            </w:pPr>
            <w:r>
              <w:drawing>
                <wp:inline distT="0" distR="0" distB="0" distL="0">
                  <wp:extent cx="1621155" cy="833903"/>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621155" cy="833903"/>
                          </a:xfrm>
                          <a:prstGeom prst="rect">
                            <a:avLst/>
                          </a:prstGeom>
                        </pic:spPr>
                      </pic:pic>
                    </a:graphicData>
                  </a:graphic>
                </wp:inline>
              </w:drawing>
            </w:r>
            <w:r>
              <w:br/>
            </w:r>
            <w:r>
              <w:rPr>
                <w:rFonts w:ascii="仿宋_GB2312" w:hAnsi="仿宋_GB2312" w:cs="仿宋_GB2312" w:eastAsia="仿宋_GB2312"/>
              </w:rPr>
              <w:t xml:space="preserve"> 4.床梯：直梯采用≥58mm*22mm“D”型管。</w:t>
            </w:r>
            <w:r>
              <w:br/>
            </w:r>
            <w:r>
              <w:rPr>
                <w:rFonts w:ascii="仿宋_GB2312" w:hAnsi="仿宋_GB2312" w:cs="仿宋_GB2312" w:eastAsia="仿宋_GB2312"/>
              </w:rPr>
              <w:t xml:space="preserve"> 楼梯铁板采用300mm*70mm(±2mm)，厚度≥1.0mm优质冷轧钢板制，与边管整体焊接成型，踩面正前方设计防滑凸点，踏板前沿圆弧处理，每块踏板下面须焊接≥20mm*20mm加强管，加强管两端与楼梯支架插入连接后再焊接处理。</w:t>
            </w:r>
            <w:r>
              <w:br/>
            </w:r>
            <w:r>
              <w:rPr>
                <w:rFonts w:ascii="仿宋_GB2312" w:hAnsi="仿宋_GB2312" w:cs="仿宋_GB2312" w:eastAsia="仿宋_GB2312"/>
              </w:rPr>
              <w:t xml:space="preserve"> 5.双层床提供真实、有效、有CMA标识的检验报告复印件加盖供应商公章。</w:t>
            </w:r>
          </w:p>
        </w:tc>
      </w:tr>
    </w:tbl>
    <w:p>
      <w:pPr>
        <w:pStyle w:val="null3"/>
      </w:pPr>
      <w:r>
        <w:rPr>
          <w:rFonts w:ascii="仿宋_GB2312" w:hAnsi="仿宋_GB2312" w:cs="仿宋_GB2312" w:eastAsia="仿宋_GB2312"/>
        </w:rPr>
        <w:t>标的名称：储物柜</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rPr>
                <w:rFonts w:ascii="仿宋_GB2312" w:hAnsi="仿宋_GB2312" w:cs="仿宋_GB2312" w:eastAsia="仿宋_GB2312"/>
              </w:rPr>
              <w:t>1.尺寸：长 900mm*宽 400mm 高 2500mm(±5mm）。</w:t>
            </w:r>
          </w:p>
          <w:p>
            <w:pPr>
              <w:pStyle w:val="null3"/>
            </w:pPr>
            <w:r>
              <w:rPr>
                <w:rFonts w:ascii="仿宋_GB2312" w:hAnsi="仿宋_GB2312" w:cs="仿宋_GB2312" w:eastAsia="仿宋_GB2312"/>
              </w:rPr>
              <w:t>2.颜色：白色.</w:t>
            </w:r>
          </w:p>
          <w:p>
            <w:pPr>
              <w:pStyle w:val="null3"/>
            </w:pPr>
            <w:r>
              <w:rPr>
                <w:rFonts w:ascii="仿宋_GB2312" w:hAnsi="仿宋_GB2312" w:cs="仿宋_GB2312" w:eastAsia="仿宋_GB2312"/>
              </w:rPr>
              <w:t>3.材质：优质一级冷轧钢板。厚度为 ≥0.6mm。</w:t>
            </w:r>
          </w:p>
          <w:p>
            <w:pPr>
              <w:pStyle w:val="null3"/>
            </w:pPr>
            <w:r>
              <w:rPr>
                <w:rFonts w:ascii="仿宋_GB2312" w:hAnsi="仿宋_GB2312" w:cs="仿宋_GB2312" w:eastAsia="仿宋_GB2312"/>
              </w:rPr>
              <w:t>4.整体设计：部分区域设置加强筋，确保柜体强度；所有钢材焊接口打磨光滑，角位需磨边或加以防撞保护处理。顶板和底板封边加厚，柜门全开门结构，每个衣柜分为6层，上面三层为双开门柜子，下面三层为置物架。</w:t>
            </w:r>
          </w:p>
          <w:p>
            <w:pPr>
              <w:pStyle w:val="null3"/>
            </w:pPr>
            <w:r>
              <w:rPr>
                <w:rFonts w:ascii="仿宋_GB2312" w:hAnsi="仿宋_GB2312" w:cs="仿宋_GB2312" w:eastAsia="仿宋_GB2312"/>
              </w:rPr>
              <w:t>5.五金件：柜门配置新型防护凹型槽拉手，置明挂暗锁，锁件表面采用全镀铬处理；拉手采用 一体式设计，外观更加美观安全，拉手的耐老化、受力强度及抗腐蚀检测符合国家相关标准。</w:t>
            </w:r>
          </w:p>
        </w:tc>
      </w:tr>
      <w:tr>
        <w:tc>
          <w:tcPr>
            <w:tcW w:type="dxa" w:w="2769"/>
          </w:tcPr>
          <w:p>
            <w:pPr>
              <w:pStyle w:val="null3"/>
            </w:pPr>
            <w:r>
              <w:rPr>
                <w:rFonts w:ascii="仿宋_GB2312" w:hAnsi="仿宋_GB2312" w:cs="仿宋_GB2312" w:eastAsia="仿宋_GB2312"/>
              </w:rPr>
              <w:t>2</w:t>
            </w:r>
          </w:p>
        </w:tc>
        <w:tc>
          <w:tcPr>
            <w:tcW w:type="dxa" w:w="2769"/>
          </w:tcPr>
          <w:p>
            <w:pPr>
              <w:pStyle w:val="null3"/>
            </w:pPr>
            <w:r>
              <w:rPr>
                <w:rFonts w:ascii="仿宋_GB2312" w:hAnsi="仿宋_GB2312" w:cs="仿宋_GB2312" w:eastAsia="仿宋_GB2312"/>
              </w:rPr>
              <w:t>★</w:t>
            </w:r>
          </w:p>
        </w:tc>
        <w:tc>
          <w:tcPr>
            <w:tcW w:type="dxa" w:w="2769"/>
          </w:tcPr>
          <w:p>
            <w:pPr>
              <w:pStyle w:val="null3"/>
              <w:jc w:val="both"/>
            </w:pPr>
            <w:r>
              <w:rPr>
                <w:rFonts w:ascii="仿宋_GB2312" w:hAnsi="仿宋_GB2312" w:cs="仿宋_GB2312" w:eastAsia="仿宋_GB2312"/>
              </w:rPr>
              <w:t>提供真实、有效、有CMA标识的检验报告复印件加盖供应商公章。</w:t>
            </w:r>
          </w:p>
        </w:tc>
      </w:tr>
    </w:tbl>
    <w:p>
      <w:pPr>
        <w:pStyle w:val="null3"/>
      </w:pPr>
      <w:r>
        <w:rPr>
          <w:rFonts w:ascii="仿宋_GB2312" w:hAnsi="仿宋_GB2312" w:cs="仿宋_GB2312" w:eastAsia="仿宋_GB2312"/>
        </w:rPr>
        <w:t>标的名称：床垫</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rPr>
                <w:rFonts w:ascii="仿宋_GB2312" w:hAnsi="仿宋_GB2312" w:cs="仿宋_GB2312" w:eastAsia="仿宋_GB2312"/>
              </w:rPr>
              <w:t>1.规格：长192cm 宽74cm 厚4（±5mm）cm。</w:t>
            </w:r>
          </w:p>
          <w:p>
            <w:pPr>
              <w:pStyle w:val="null3"/>
            </w:pPr>
            <w:r>
              <w:rPr>
                <w:rFonts w:ascii="仿宋_GB2312" w:hAnsi="仿宋_GB2312" w:cs="仿宋_GB2312" w:eastAsia="仿宋_GB2312"/>
              </w:rPr>
              <w:t>2.颜色：白色。</w:t>
            </w:r>
          </w:p>
          <w:p>
            <w:pPr>
              <w:pStyle w:val="null3"/>
            </w:pPr>
            <w:r>
              <w:rPr>
                <w:rFonts w:ascii="仿宋_GB2312" w:hAnsi="仿宋_GB2312" w:cs="仿宋_GB2312" w:eastAsia="仿宋_GB2312"/>
              </w:rPr>
              <w:t>3.材质：采用优质棕榈树树叶，上下两面采用优质布料编札，编札纹路紧凑，通风透气；床垫四周加厚边处理。棕面采用竹炭纤维，高密海绵层采用压花缝制工艺。</w:t>
            </w:r>
          </w:p>
        </w:tc>
      </w:tr>
      <w:tr>
        <w:tc>
          <w:tcPr>
            <w:tcW w:type="dxa" w:w="2769"/>
          </w:tcPr>
          <w:p>
            <w:pPr>
              <w:pStyle w:val="null3"/>
            </w:pPr>
            <w:r>
              <w:rPr>
                <w:rFonts w:ascii="仿宋_GB2312" w:hAnsi="仿宋_GB2312" w:cs="仿宋_GB2312" w:eastAsia="仿宋_GB2312"/>
              </w:rPr>
              <w:t>2</w:t>
            </w:r>
          </w:p>
        </w:tc>
        <w:tc>
          <w:tcPr>
            <w:tcW w:type="dxa" w:w="2769"/>
          </w:tcPr>
          <w:p>
            <w:pPr>
              <w:pStyle w:val="null3"/>
            </w:pPr>
            <w:r>
              <w:rPr>
                <w:rFonts w:ascii="仿宋_GB2312" w:hAnsi="仿宋_GB2312" w:cs="仿宋_GB2312" w:eastAsia="仿宋_GB2312"/>
              </w:rPr>
              <w:t>★</w:t>
            </w:r>
          </w:p>
        </w:tc>
        <w:tc>
          <w:tcPr>
            <w:tcW w:type="dxa" w:w="2769"/>
          </w:tcPr>
          <w:p>
            <w:pPr>
              <w:pStyle w:val="null3"/>
            </w:pPr>
            <w:r>
              <w:rPr>
                <w:rFonts w:ascii="仿宋_GB2312" w:hAnsi="仿宋_GB2312" w:cs="仿宋_GB2312" w:eastAsia="仿宋_GB2312"/>
              </w:rPr>
              <w:t>提供真实、有效、有CMA标识的检验报告复印件加盖供应商公章。</w:t>
            </w:r>
          </w:p>
        </w:tc>
      </w:tr>
    </w:tbl>
    <w:p>
      <w:pPr>
        <w:pStyle w:val="null3"/>
      </w:pPr>
      <w:r>
        <w:rPr>
          <w:rFonts w:ascii="仿宋_GB2312" w:hAnsi="仿宋_GB2312" w:cs="仿宋_GB2312" w:eastAsia="仿宋_GB2312"/>
        </w:rPr>
        <w:t>标的名称：窗帘</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rPr>
                <w:rFonts w:ascii="仿宋_GB2312" w:hAnsi="仿宋_GB2312" w:cs="仿宋_GB2312" w:eastAsia="仿宋_GB2312"/>
              </w:rPr>
              <w:t>1.尺寸：宽2米 高2.75米。</w:t>
            </w:r>
          </w:p>
          <w:p>
            <w:pPr>
              <w:pStyle w:val="null3"/>
            </w:pPr>
            <w:r>
              <w:rPr>
                <w:rFonts w:ascii="仿宋_GB2312" w:hAnsi="仿宋_GB2312" w:cs="仿宋_GB2312" w:eastAsia="仿宋_GB2312"/>
              </w:rPr>
              <w:t>2.颜色：浅卡或浅兰。</w:t>
            </w:r>
          </w:p>
          <w:p>
            <w:pPr>
              <w:pStyle w:val="null3"/>
            </w:pPr>
            <w:r>
              <w:rPr>
                <w:rFonts w:ascii="仿宋_GB2312" w:hAnsi="仿宋_GB2312" w:cs="仿宋_GB2312" w:eastAsia="仿宋_GB2312"/>
              </w:rPr>
              <w:t>3.布料材质：涤纶遮光布；</w:t>
            </w:r>
          </w:p>
          <w:p>
            <w:pPr>
              <w:pStyle w:val="null3"/>
            </w:pPr>
            <w:r>
              <w:rPr>
                <w:rFonts w:ascii="仿宋_GB2312" w:hAnsi="仿宋_GB2312" w:cs="仿宋_GB2312" w:eastAsia="仿宋_GB2312"/>
              </w:rPr>
              <w:t>4.配件：罗马杆，直经≥28毫米，厚度≥0.8毫米。</w:t>
            </w:r>
          </w:p>
        </w:tc>
      </w:tr>
      <w:tr>
        <w:tc>
          <w:tcPr>
            <w:tcW w:type="dxa" w:w="2769"/>
          </w:tcPr>
          <w:p>
            <w:pPr>
              <w:pStyle w:val="null3"/>
            </w:pPr>
            <w:r>
              <w:rPr>
                <w:rFonts w:ascii="仿宋_GB2312" w:hAnsi="仿宋_GB2312" w:cs="仿宋_GB2312" w:eastAsia="仿宋_GB2312"/>
              </w:rPr>
              <w:t>2</w:t>
            </w:r>
          </w:p>
        </w:tc>
        <w:tc>
          <w:tcPr>
            <w:tcW w:type="dxa" w:w="2769"/>
          </w:tcPr>
          <w:p>
            <w:pPr>
              <w:pStyle w:val="null3"/>
            </w:pPr>
            <w:r>
              <w:rPr>
                <w:rFonts w:ascii="仿宋_GB2312" w:hAnsi="仿宋_GB2312" w:cs="仿宋_GB2312" w:eastAsia="仿宋_GB2312"/>
              </w:rPr>
              <w:t>★</w:t>
            </w:r>
          </w:p>
        </w:tc>
        <w:tc>
          <w:tcPr>
            <w:tcW w:type="dxa" w:w="2769"/>
          </w:tcPr>
          <w:p>
            <w:pPr>
              <w:pStyle w:val="null3"/>
            </w:pPr>
            <w:r>
              <w:rPr>
                <w:rFonts w:ascii="仿宋_GB2312" w:hAnsi="仿宋_GB2312" w:cs="仿宋_GB2312" w:eastAsia="仿宋_GB2312"/>
              </w:rPr>
              <w:t>提供真实、有效、有CMA标识的窗帘布料检验报告复印件加盖供应商公章。</w:t>
            </w:r>
          </w:p>
        </w:tc>
      </w:tr>
    </w:tbl>
    <w:p>
      <w:pPr>
        <w:pStyle w:val="null3"/>
      </w:pPr>
      <w:r>
        <w:rPr>
          <w:rFonts w:ascii="仿宋_GB2312" w:hAnsi="仿宋_GB2312" w:cs="仿宋_GB2312" w:eastAsia="仿宋_GB2312"/>
        </w:rPr>
        <w:t>标的名称：饮水机</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jc w:val="both"/>
            </w:pPr>
            <w:r>
              <w:rPr>
                <w:rFonts w:ascii="仿宋_GB2312" w:hAnsi="仿宋_GB2312" w:cs="仿宋_GB2312" w:eastAsia="仿宋_GB2312"/>
              </w:rPr>
              <w:t>饮水机</w:t>
            </w:r>
          </w:p>
          <w:p>
            <w:pPr>
              <w:pStyle w:val="null3"/>
            </w:pPr>
            <w:r>
              <w:rPr>
                <w:rFonts w:ascii="仿宋_GB2312" w:hAnsi="仿宋_GB2312" w:cs="仿宋_GB2312" w:eastAsia="仿宋_GB2312"/>
              </w:rPr>
              <w:t>1.外形尺寸:≥1100×500×1670mm.</w:t>
            </w:r>
          </w:p>
          <w:p>
            <w:pPr>
              <w:pStyle w:val="null3"/>
            </w:pPr>
            <w:r>
              <w:rPr>
                <w:rFonts w:ascii="仿宋_GB2312" w:hAnsi="仿宋_GB2312" w:cs="仿宋_GB2312" w:eastAsia="仿宋_GB2312"/>
              </w:rPr>
              <w:t>2.功率：≥6KW/380V。</w:t>
            </w:r>
          </w:p>
          <w:p>
            <w:pPr>
              <w:pStyle w:val="null3"/>
            </w:pPr>
            <w:r>
              <w:rPr>
                <w:rFonts w:ascii="仿宋_GB2312" w:hAnsi="仿宋_GB2312" w:cs="仿宋_GB2312" w:eastAsia="仿宋_GB2312"/>
              </w:rPr>
              <w:t>3.适用人数：≥150人。</w:t>
            </w:r>
          </w:p>
          <w:p>
            <w:pPr>
              <w:pStyle w:val="null3"/>
            </w:pPr>
            <w:r>
              <w:rPr>
                <w:rFonts w:ascii="仿宋_GB2312" w:hAnsi="仿宋_GB2312" w:cs="仿宋_GB2312" w:eastAsia="仿宋_GB2312"/>
              </w:rPr>
              <w:t>4.水箱容量：≥热胆35L+恒温水箱90L。</w:t>
            </w:r>
          </w:p>
          <w:p>
            <w:pPr>
              <w:pStyle w:val="null3"/>
            </w:pPr>
            <w:r>
              <w:rPr>
                <w:rFonts w:ascii="仿宋_GB2312" w:hAnsi="仿宋_GB2312" w:cs="仿宋_GB2312" w:eastAsia="仿宋_GB2312"/>
              </w:rPr>
              <w:t>5.供水量：≥开水45L/H，温开水≥350L/H。</w:t>
            </w:r>
          </w:p>
          <w:p>
            <w:pPr>
              <w:pStyle w:val="null3"/>
            </w:pPr>
            <w:r>
              <w:rPr>
                <w:rFonts w:ascii="仿宋_GB2312" w:hAnsi="仿宋_GB2312" w:cs="仿宋_GB2312" w:eastAsia="仿宋_GB2312"/>
              </w:rPr>
              <w:t>6.过滤：内置；≥5级反渗透；≥400+11G纯水机。</w:t>
            </w:r>
          </w:p>
          <w:p>
            <w:pPr>
              <w:pStyle w:val="null3"/>
            </w:pPr>
            <w:r>
              <w:rPr>
                <w:rFonts w:ascii="仿宋_GB2312" w:hAnsi="仿宋_GB2312" w:cs="仿宋_GB2312" w:eastAsia="仿宋_GB2312"/>
              </w:rPr>
              <w:t>7.出水方式:触控按键出水。</w:t>
            </w:r>
          </w:p>
          <w:p>
            <w:pPr>
              <w:pStyle w:val="null3"/>
            </w:pPr>
            <w:r>
              <w:rPr>
                <w:rFonts w:ascii="仿宋_GB2312" w:hAnsi="仿宋_GB2312" w:cs="仿宋_GB2312" w:eastAsia="仿宋_GB2312"/>
              </w:rPr>
              <w:t>8.出水嘴数：1开3温或者4温水。</w:t>
            </w:r>
          </w:p>
          <w:p>
            <w:pPr>
              <w:pStyle w:val="null3"/>
            </w:pPr>
            <w:r>
              <w:rPr>
                <w:rFonts w:ascii="仿宋_GB2312" w:hAnsi="仿宋_GB2312" w:cs="仿宋_GB2312" w:eastAsia="仿宋_GB2312"/>
              </w:rPr>
              <w:t>9.材料：整机外壳：铝合金+实厚≥0.8冷扎板，烤漆工艺；</w:t>
            </w:r>
          </w:p>
          <w:p>
            <w:pPr>
              <w:pStyle w:val="null3"/>
            </w:pPr>
            <w:r>
              <w:rPr>
                <w:rFonts w:ascii="仿宋_GB2312" w:hAnsi="仿宋_GB2312" w:cs="仿宋_GB2312" w:eastAsia="仿宋_GB2312"/>
              </w:rPr>
              <w:t>10.面板：钢化玻璃板。</w:t>
            </w:r>
          </w:p>
          <w:p>
            <w:pPr>
              <w:pStyle w:val="null3"/>
            </w:pPr>
            <w:r>
              <w:rPr>
                <w:rFonts w:ascii="仿宋_GB2312" w:hAnsi="仿宋_GB2312" w:cs="仿宋_GB2312" w:eastAsia="仿宋_GB2312"/>
              </w:rPr>
              <w:t>11.水槽部分：食品级SUS304不锈钢，厚≥1.0mm；</w:t>
            </w:r>
          </w:p>
          <w:p>
            <w:pPr>
              <w:pStyle w:val="null3"/>
            </w:pPr>
            <w:r>
              <w:rPr>
                <w:rFonts w:ascii="仿宋_GB2312" w:hAnsi="仿宋_GB2312" w:cs="仿宋_GB2312" w:eastAsia="仿宋_GB2312"/>
              </w:rPr>
              <w:t>12.水箱：食品级SUS304不锈钢，厚≥1.0MM；</w:t>
            </w:r>
          </w:p>
          <w:p>
            <w:pPr>
              <w:pStyle w:val="null3"/>
            </w:pPr>
            <w:r>
              <w:rPr>
                <w:rFonts w:ascii="仿宋_GB2312" w:hAnsi="仿宋_GB2312" w:cs="仿宋_GB2312" w:eastAsia="仿宋_GB2312"/>
              </w:rPr>
              <w:t>13.加热管：选用铜质加热管或耐高温耐腐蚀性能不低于食品级316#不锈钢800L制造；</w:t>
            </w:r>
          </w:p>
        </w:tc>
      </w:tr>
      <w:tr>
        <w:tc>
          <w:tcPr>
            <w:tcW w:type="dxa" w:w="2769"/>
          </w:tcPr>
          <w:p>
            <w:pPr>
              <w:pStyle w:val="null3"/>
            </w:pPr>
            <w:r>
              <w:rPr>
                <w:rFonts w:ascii="仿宋_GB2312" w:hAnsi="仿宋_GB2312" w:cs="仿宋_GB2312" w:eastAsia="仿宋_GB2312"/>
              </w:rPr>
              <w:t>2</w:t>
            </w:r>
          </w:p>
        </w:tc>
        <w:tc>
          <w:tcPr>
            <w:tcW w:type="dxa" w:w="2769"/>
          </w:tcPr>
          <w:p>
            <w:pPr>
              <w:pStyle w:val="null3"/>
            </w:pPr>
            <w:r>
              <w:rPr>
                <w:rFonts w:ascii="仿宋_GB2312" w:hAnsi="仿宋_GB2312" w:cs="仿宋_GB2312" w:eastAsia="仿宋_GB2312"/>
              </w:rPr>
              <w:t>★</w:t>
            </w:r>
          </w:p>
        </w:tc>
        <w:tc>
          <w:tcPr>
            <w:tcW w:type="dxa" w:w="2769"/>
          </w:tcPr>
          <w:p>
            <w:pPr>
              <w:pStyle w:val="null3"/>
              <w:jc w:val="both"/>
            </w:pPr>
            <w:r>
              <w:rPr>
                <w:rFonts w:ascii="仿宋_GB2312" w:hAnsi="仿宋_GB2312" w:cs="仿宋_GB2312" w:eastAsia="仿宋_GB2312"/>
              </w:rPr>
              <w:t xml:space="preserve">1.饮水机使用热交换技术：高效热能交换器，外管≥1.2mm304不锈钢硬管，内管≥1.0mm304螺纹管，排水系统用内带钢丝耐高温塑料软管，不漏水，不易损坏，耐用，采用热能交换器，饮用温开水，节能≥81.25%； </w:t>
            </w:r>
          </w:p>
          <w:p>
            <w:pPr>
              <w:pStyle w:val="null3"/>
              <w:jc w:val="both"/>
            </w:pPr>
            <w:r>
              <w:rPr>
                <w:rFonts w:ascii="仿宋_GB2312" w:hAnsi="仿宋_GB2312" w:cs="仿宋_GB2312" w:eastAsia="仿宋_GB2312"/>
              </w:rPr>
              <w:t>2.提供真实、有效、有CMA标识的检验报告复印件加盖供应商公章。</w:t>
            </w:r>
          </w:p>
        </w:tc>
      </w:tr>
    </w:tbl>
    <w:p>
      <w:pPr>
        <w:pStyle w:val="null3"/>
        <w:outlineLvl w:val="2"/>
      </w:pPr>
      <w:r>
        <w:rPr>
          <w:rFonts w:ascii="仿宋_GB2312" w:hAnsi="仿宋_GB2312" w:cs="仿宋_GB2312" w:eastAsia="仿宋_GB2312"/>
          <w:sz w:val="28"/>
          <w:b/>
        </w:rPr>
        <w:t>3.4商务要求</w:t>
      </w:r>
    </w:p>
    <w:p>
      <w:pPr>
        <w:pStyle w:val="null3"/>
        <w:outlineLvl w:val="3"/>
      </w:pPr>
      <w:r>
        <w:rPr>
          <w:rFonts w:ascii="仿宋_GB2312" w:hAnsi="仿宋_GB2312" w:cs="仿宋_GB2312" w:eastAsia="仿宋_GB2312"/>
          <w:sz w:val="24"/>
          <w:b/>
        </w:rPr>
        <w:t xml:space="preserve"> 3.4.1交货时间</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签订合同后20天</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合同签订后25天</w:t>
      </w:r>
    </w:p>
    <w:p>
      <w:pPr>
        <w:pStyle w:val="null3"/>
        <w:outlineLvl w:val="3"/>
      </w:pPr>
      <w:r>
        <w:rPr>
          <w:rFonts w:ascii="仿宋_GB2312" w:hAnsi="仿宋_GB2312" w:cs="仿宋_GB2312" w:eastAsia="仿宋_GB2312"/>
          <w:sz w:val="24"/>
          <w:b/>
        </w:rPr>
        <w:t>3.4.2交货地点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西乡县第四中学</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西乡县第四中学</w:t>
      </w:r>
    </w:p>
    <w:p>
      <w:pPr>
        <w:pStyle w:val="null3"/>
        <w:outlineLvl w:val="3"/>
      </w:pPr>
      <w:r>
        <w:rPr>
          <w:rFonts w:ascii="仿宋_GB2312" w:hAnsi="仿宋_GB2312" w:cs="仿宋_GB2312" w:eastAsia="仿宋_GB2312"/>
          <w:sz w:val="24"/>
          <w:b/>
        </w:rPr>
        <w:t>3.4.3支付方式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一次付清</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一次付清</w:t>
      </w:r>
    </w:p>
    <w:p>
      <w:pPr>
        <w:pStyle w:val="null3"/>
        <w:outlineLvl w:val="3"/>
      </w:pPr>
      <w:r>
        <w:rPr>
          <w:rFonts w:ascii="仿宋_GB2312" w:hAnsi="仿宋_GB2312" w:cs="仿宋_GB2312" w:eastAsia="仿宋_GB2312"/>
          <w:sz w:val="24"/>
          <w:b/>
        </w:rPr>
        <w:t>3.4.4支付约定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设备安装到位，经采购人验收后</w:t>
      </w:r>
      <w:r>
        <w:rPr>
          <w:rFonts w:ascii="仿宋_GB2312" w:hAnsi="仿宋_GB2312" w:cs="仿宋_GB2312" w:eastAsia="仿宋_GB2312"/>
        </w:rPr>
        <w:t xml:space="preserve"> ，达到付款条件起 </w:t>
      </w:r>
      <w:r>
        <w:rPr>
          <w:rFonts w:ascii="仿宋_GB2312" w:hAnsi="仿宋_GB2312" w:cs="仿宋_GB2312" w:eastAsia="仿宋_GB2312"/>
        </w:rPr>
        <w:t>90</w:t>
      </w:r>
      <w:r>
        <w:rPr>
          <w:rFonts w:ascii="仿宋_GB2312" w:hAnsi="仿宋_GB2312" w:cs="仿宋_GB2312" w:eastAsia="仿宋_GB2312"/>
        </w:rPr>
        <w:t xml:space="preserve"> 日内，支付合同总金额的 </w:t>
      </w:r>
      <w:r>
        <w:rPr>
          <w:rFonts w:ascii="仿宋_GB2312" w:hAnsi="仿宋_GB2312" w:cs="仿宋_GB2312" w:eastAsia="仿宋_GB2312"/>
        </w:rPr>
        <w:t>100.00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 xml:space="preserve"> 安装到位，采购人验收合格后</w:t>
      </w:r>
      <w:r>
        <w:rPr>
          <w:rFonts w:ascii="仿宋_GB2312" w:hAnsi="仿宋_GB2312" w:cs="仿宋_GB2312" w:eastAsia="仿宋_GB2312"/>
        </w:rPr>
        <w:t xml:space="preserve"> ，达到付款条件起 </w:t>
      </w:r>
      <w:r>
        <w:rPr>
          <w:rFonts w:ascii="仿宋_GB2312" w:hAnsi="仿宋_GB2312" w:cs="仿宋_GB2312" w:eastAsia="仿宋_GB2312"/>
        </w:rPr>
        <w:t>90</w:t>
      </w:r>
      <w:r>
        <w:rPr>
          <w:rFonts w:ascii="仿宋_GB2312" w:hAnsi="仿宋_GB2312" w:cs="仿宋_GB2312" w:eastAsia="仿宋_GB2312"/>
        </w:rPr>
        <w:t xml:space="preserve"> 日内，支付合同总金额的 </w:t>
      </w:r>
      <w:r>
        <w:rPr>
          <w:rFonts w:ascii="仿宋_GB2312" w:hAnsi="仿宋_GB2312" w:cs="仿宋_GB2312" w:eastAsia="仿宋_GB2312"/>
        </w:rPr>
        <w:t>100.00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3.4.5验收标准和方法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①符合中华人民共和国国家安全质量标准、环保标准或行业标准；②符合招标文件和投标文件投标承诺中甲方认可的各项要求；③货物来源官方标准。</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①符合中华人民共和国国家安全质量标准、环保标准或行业标准；②符合招标文件和投标文件投标承诺中甲方认可的各项要求；③货物来源官方标准。</w:t>
      </w:r>
    </w:p>
    <w:p>
      <w:pPr>
        <w:pStyle w:val="null3"/>
        <w:outlineLvl w:val="3"/>
      </w:pPr>
      <w:r>
        <w:rPr>
          <w:rFonts w:ascii="仿宋_GB2312" w:hAnsi="仿宋_GB2312" w:cs="仿宋_GB2312" w:eastAsia="仿宋_GB2312"/>
          <w:sz w:val="24"/>
          <w:b/>
        </w:rPr>
        <w:t>3.4.6包装方式及运输</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outlineLvl w:val="3"/>
      </w:pPr>
      <w:r>
        <w:rPr>
          <w:rFonts w:ascii="仿宋_GB2312" w:hAnsi="仿宋_GB2312" w:cs="仿宋_GB2312" w:eastAsia="仿宋_GB2312"/>
          <w:sz w:val="24"/>
          <w:b/>
        </w:rPr>
        <w:t>3.4.7质量保修范围和保修期</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整体质保三年</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本项目整体质保3年。</w:t>
      </w:r>
    </w:p>
    <w:p>
      <w:pPr>
        <w:pStyle w:val="null3"/>
        <w:outlineLvl w:val="3"/>
      </w:pPr>
      <w:r>
        <w:rPr>
          <w:rFonts w:ascii="仿宋_GB2312" w:hAnsi="仿宋_GB2312" w:cs="仿宋_GB2312" w:eastAsia="仿宋_GB2312"/>
          <w:sz w:val="24"/>
          <w:b/>
        </w:rPr>
        <w:t>3.4.8违约责任与解决争议的方法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1、双方因合同发生异议，应协商解决。如协商不成，由甲方所在地人民法院依法裁决。 2、本合同一式肆份，甲、乙双方各执一份，招标机构执二份备案。具有同等法律效力。</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1、双方因合同发生异议，应协商解决。如协商不成，由甲方所在地人民法院依法裁决。 2、本合同一式肆份，甲、乙双方各执一份，招标机构执二份备案。具有同等法律效力。</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无</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资格审查由采购人或代理机构组建的资格审查小组依据法律法规和招标文件的规定，对投标文件中的资格证明等进行审查，以确定投标人是否具备投标资格，并出具资格审查报告。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2"/>
      </w:pPr>
      <w:r>
        <w:rPr>
          <w:rFonts w:ascii="仿宋_GB2312" w:hAnsi="仿宋_GB2312" w:cs="仿宋_GB2312" w:eastAsia="仿宋_GB2312"/>
          <w:sz w:val="28"/>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投标人应提交的相关资格证明材料.docx 联合体声明.docx 投标函 残疾人福利性单位声明函 投标文件封面 监狱企业的证明文件</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营业执照等主体资格证明文件</w:t>
            </w:r>
          </w:p>
        </w:tc>
        <w:tc>
          <w:tcPr>
            <w:tcW w:type="dxa" w:w="3322"/>
          </w:tcPr>
          <w:p>
            <w:pPr>
              <w:pStyle w:val="null3"/>
            </w:pPr>
            <w:r>
              <w:rPr>
                <w:rFonts w:ascii="仿宋_GB2312" w:hAnsi="仿宋_GB2312" w:cs="仿宋_GB2312" w:eastAsia="仿宋_GB2312"/>
              </w:rPr>
              <w:t>具有独立承担民事责任能力的法人、其他组织或自然人，并出具合法有效的营业执照或事业单位法人证书等国家规定的相关证明，自然人参与的提供其身份证明。</w:t>
            </w:r>
          </w:p>
        </w:tc>
        <w:tc>
          <w:tcPr>
            <w:tcW w:type="dxa" w:w="1661"/>
          </w:tcPr>
          <w:p>
            <w:pPr>
              <w:pStyle w:val="null3"/>
            </w:pPr>
            <w:r>
              <w:rPr>
                <w:rFonts w:ascii="仿宋_GB2312" w:hAnsi="仿宋_GB2312" w:cs="仿宋_GB2312" w:eastAsia="仿宋_GB2312"/>
              </w:rPr>
              <w:t>投标人应提交的相关资格证明材料.docx 投标函 供应商控股管理关系声明.docx 同类业绩统计样表.docx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联合体</w:t>
            </w:r>
          </w:p>
        </w:tc>
        <w:tc>
          <w:tcPr>
            <w:tcW w:type="dxa" w:w="3322"/>
          </w:tcPr>
          <w:p>
            <w:pPr>
              <w:pStyle w:val="null3"/>
            </w:pPr>
            <w:r>
              <w:rPr>
                <w:rFonts w:ascii="仿宋_GB2312" w:hAnsi="仿宋_GB2312" w:cs="仿宋_GB2312" w:eastAsia="仿宋_GB2312"/>
              </w:rPr>
              <w:t>本项目不接受联合体投标，不允许分包。供应商提供声明函或承诺函。</w:t>
            </w:r>
          </w:p>
        </w:tc>
        <w:tc>
          <w:tcPr>
            <w:tcW w:type="dxa" w:w="1661"/>
          </w:tcPr>
          <w:p>
            <w:pPr>
              <w:pStyle w:val="null3"/>
            </w:pPr>
            <w:r>
              <w:rPr>
                <w:rFonts w:ascii="仿宋_GB2312" w:hAnsi="仿宋_GB2312" w:cs="仿宋_GB2312" w:eastAsia="仿宋_GB2312"/>
              </w:rPr>
              <w:t>联合体声明.docx</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投标人应提交的相关资格证明材料.docx 投标函 残疾人福利性单位声明函 投标文件封面 监狱企业的证明文件</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营业执照等主体资格证明文件</w:t>
            </w:r>
          </w:p>
        </w:tc>
        <w:tc>
          <w:tcPr>
            <w:tcW w:type="dxa" w:w="3322"/>
          </w:tcPr>
          <w:p>
            <w:pPr>
              <w:pStyle w:val="null3"/>
            </w:pPr>
            <w:r>
              <w:rPr>
                <w:rFonts w:ascii="仿宋_GB2312" w:hAnsi="仿宋_GB2312" w:cs="仿宋_GB2312" w:eastAsia="仿宋_GB2312"/>
              </w:rPr>
              <w:t>具有独立承担民事责任能力的法人、其他组织或自然人，并出具合法有效的营业执照或事业单位法人证书等国家规定的相关证明，自然人参与的提供其身份证明。</w:t>
            </w:r>
          </w:p>
        </w:tc>
        <w:tc>
          <w:tcPr>
            <w:tcW w:type="dxa" w:w="1661"/>
          </w:tcPr>
          <w:p>
            <w:pPr>
              <w:pStyle w:val="null3"/>
            </w:pPr>
            <w:r>
              <w:rPr>
                <w:rFonts w:ascii="仿宋_GB2312" w:hAnsi="仿宋_GB2312" w:cs="仿宋_GB2312" w:eastAsia="仿宋_GB2312"/>
              </w:rPr>
              <w:t>投标人应提交的相关资格证明材料.docx 投标函 供应商控股管理关系声明.docx 同类业绩统计样表.docx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联合体</w:t>
            </w:r>
          </w:p>
        </w:tc>
        <w:tc>
          <w:tcPr>
            <w:tcW w:type="dxa" w:w="3322"/>
          </w:tcPr>
          <w:p>
            <w:pPr>
              <w:pStyle w:val="null3"/>
            </w:pPr>
            <w:r>
              <w:rPr>
                <w:rFonts w:ascii="仿宋_GB2312" w:hAnsi="仿宋_GB2312" w:cs="仿宋_GB2312" w:eastAsia="仿宋_GB2312"/>
              </w:rPr>
              <w:t>本项目不接受联合体投标，不允许分包。供应商提供声明函或承诺函。</w:t>
            </w:r>
          </w:p>
        </w:tc>
        <w:tc>
          <w:tcPr>
            <w:tcW w:type="dxa" w:w="1661"/>
          </w:tcPr>
          <w:p>
            <w:pPr>
              <w:pStyle w:val="null3"/>
            </w:pPr>
            <w:r>
              <w:rPr>
                <w:rFonts w:ascii="仿宋_GB2312" w:hAnsi="仿宋_GB2312" w:cs="仿宋_GB2312" w:eastAsia="仿宋_GB2312"/>
              </w:rPr>
              <w:t>联合体声明.docx</w:t>
            </w:r>
          </w:p>
        </w:tc>
      </w:tr>
    </w:tbl>
    <w:p>
      <w:pPr>
        <w:pStyle w:val="null3"/>
        <w:outlineLvl w:val="2"/>
      </w:pPr>
      <w:r>
        <w:rPr>
          <w:rFonts w:ascii="仿宋_GB2312" w:hAnsi="仿宋_GB2312" w:cs="仿宋_GB2312" w:eastAsia="仿宋_GB2312"/>
          <w:sz w:val="28"/>
          <w:b/>
        </w:rPr>
        <w:t>4.2特殊资格审查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供应商资格承诺函</w:t>
            </w:r>
          </w:p>
        </w:tc>
        <w:tc>
          <w:tcPr>
            <w:tcW w:type="dxa" w:w="3322"/>
          </w:tcPr>
          <w:p>
            <w:pPr>
              <w:pStyle w:val="null3"/>
            </w:pPr>
            <w:r>
              <w:rPr>
                <w:rFonts w:ascii="仿宋_GB2312" w:hAnsi="仿宋_GB2312" w:cs="仿宋_GB2312" w:eastAsia="仿宋_GB2312"/>
              </w:rPr>
              <w:t>投标人出具合法有效的供应商资格承诺函</w:t>
            </w:r>
          </w:p>
        </w:tc>
        <w:tc>
          <w:tcPr>
            <w:tcW w:type="dxa" w:w="1661"/>
          </w:tcPr>
          <w:p>
            <w:pPr>
              <w:pStyle w:val="null3"/>
            </w:pPr>
            <w:r>
              <w:rPr>
                <w:rFonts w:ascii="仿宋_GB2312" w:hAnsi="仿宋_GB2312" w:cs="仿宋_GB2312" w:eastAsia="仿宋_GB2312"/>
              </w:rPr>
              <w:t>西乡县政府采购供应商资格承诺函.docx 投标函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法定代表人身份证明书或法定代表人授权委托书</w:t>
            </w:r>
          </w:p>
        </w:tc>
        <w:tc>
          <w:tcPr>
            <w:tcW w:type="dxa" w:w="3322"/>
          </w:tcPr>
          <w:p>
            <w:pPr>
              <w:pStyle w:val="null3"/>
            </w:pPr>
            <w:r>
              <w:rPr>
                <w:rFonts w:ascii="仿宋_GB2312" w:hAnsi="仿宋_GB2312" w:cs="仿宋_GB2312" w:eastAsia="仿宋_GB2312"/>
              </w:rPr>
              <w:t>法定代表人参加征集活动的，须提供法定代表人身份证明书；法定代表人授权代表参加征集活动的，须提供法定代表人授权委托书。</w:t>
            </w:r>
          </w:p>
        </w:tc>
        <w:tc>
          <w:tcPr>
            <w:tcW w:type="dxa" w:w="1661"/>
          </w:tcPr>
          <w:p>
            <w:pPr>
              <w:pStyle w:val="null3"/>
            </w:pPr>
            <w:r>
              <w:rPr>
                <w:rFonts w:ascii="仿宋_GB2312" w:hAnsi="仿宋_GB2312" w:cs="仿宋_GB2312" w:eastAsia="仿宋_GB2312"/>
              </w:rPr>
              <w:t>法定代表人身份证明书或法定代表人授权书.docx 投标函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控股管理关系说明</w:t>
            </w:r>
          </w:p>
        </w:tc>
        <w:tc>
          <w:tcPr>
            <w:tcW w:type="dxa" w:w="3322"/>
          </w:tcPr>
          <w:p>
            <w:pPr>
              <w:pStyle w:val="null3"/>
            </w:pPr>
            <w:r>
              <w:rPr>
                <w:rFonts w:ascii="仿宋_GB2312" w:hAnsi="仿宋_GB2312" w:cs="仿宋_GB2312" w:eastAsia="仿宋_GB2312"/>
              </w:rPr>
              <w:t>单位负责人为同一人或存在直接控股、管理关系的不同供应商，不得参加同一项目的政府采购活动；为本项目提供整体设计、规范编制或项目管理、监理、检测等服务的供应商，不得再参加本项目的其他采购活动。</w:t>
            </w:r>
          </w:p>
        </w:tc>
        <w:tc>
          <w:tcPr>
            <w:tcW w:type="dxa" w:w="1661"/>
          </w:tcPr>
          <w:p>
            <w:pPr>
              <w:pStyle w:val="null3"/>
            </w:pPr>
            <w:r>
              <w:rPr>
                <w:rFonts w:ascii="仿宋_GB2312" w:hAnsi="仿宋_GB2312" w:cs="仿宋_GB2312" w:eastAsia="仿宋_GB2312"/>
              </w:rPr>
              <w:t>投标函 实施方案——响应格式.docx 供应商控股管理关系声明.docx</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供应商资格承诺函</w:t>
            </w:r>
          </w:p>
        </w:tc>
        <w:tc>
          <w:tcPr>
            <w:tcW w:type="dxa" w:w="3322"/>
          </w:tcPr>
          <w:p>
            <w:pPr>
              <w:pStyle w:val="null3"/>
            </w:pPr>
            <w:r>
              <w:rPr>
                <w:rFonts w:ascii="仿宋_GB2312" w:hAnsi="仿宋_GB2312" w:cs="仿宋_GB2312" w:eastAsia="仿宋_GB2312"/>
              </w:rPr>
              <w:t>投标人出具合法有效的供应商资格承诺函</w:t>
            </w:r>
          </w:p>
        </w:tc>
        <w:tc>
          <w:tcPr>
            <w:tcW w:type="dxa" w:w="1661"/>
          </w:tcPr>
          <w:p>
            <w:pPr>
              <w:pStyle w:val="null3"/>
            </w:pPr>
            <w:r>
              <w:rPr>
                <w:rFonts w:ascii="仿宋_GB2312" w:hAnsi="仿宋_GB2312" w:cs="仿宋_GB2312" w:eastAsia="仿宋_GB2312"/>
              </w:rPr>
              <w:t>西乡县政府采购供应商资格承诺函.docx 投标函 实施方案——响应格式.docx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法定代表人身份证明书或法定代表人授权委托书</w:t>
            </w:r>
          </w:p>
        </w:tc>
        <w:tc>
          <w:tcPr>
            <w:tcW w:type="dxa" w:w="3322"/>
          </w:tcPr>
          <w:p>
            <w:pPr>
              <w:pStyle w:val="null3"/>
            </w:pPr>
            <w:r>
              <w:rPr>
                <w:rFonts w:ascii="仿宋_GB2312" w:hAnsi="仿宋_GB2312" w:cs="仿宋_GB2312" w:eastAsia="仿宋_GB2312"/>
              </w:rPr>
              <w:t>法定代表人参加征集活动的，须提供法定代表人身份证明书；法定代表人授权代表参加征集活动的，须提供法定代表人授权委托书。</w:t>
            </w:r>
          </w:p>
        </w:tc>
        <w:tc>
          <w:tcPr>
            <w:tcW w:type="dxa" w:w="1661"/>
          </w:tcPr>
          <w:p>
            <w:pPr>
              <w:pStyle w:val="null3"/>
            </w:pPr>
            <w:r>
              <w:rPr>
                <w:rFonts w:ascii="仿宋_GB2312" w:hAnsi="仿宋_GB2312" w:cs="仿宋_GB2312" w:eastAsia="仿宋_GB2312"/>
              </w:rPr>
              <w:t>法定代表人身份证明书或法定代表人授权书.docx 投标函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控股管理关系说明</w:t>
            </w:r>
          </w:p>
        </w:tc>
        <w:tc>
          <w:tcPr>
            <w:tcW w:type="dxa" w:w="3322"/>
          </w:tcPr>
          <w:p>
            <w:pPr>
              <w:pStyle w:val="null3"/>
            </w:pPr>
            <w:r>
              <w:rPr>
                <w:rFonts w:ascii="仿宋_GB2312" w:hAnsi="仿宋_GB2312" w:cs="仿宋_GB2312" w:eastAsia="仿宋_GB2312"/>
              </w:rPr>
              <w:t>单位负责人为同一人或存在直接控股、管理关系的不同供应商，不得参加同一项目的政府采购活动；为本项目提供整体设计、规范编制或项目管理、监理、检测等服务的供应商，不得再参加本项目的其他采购活动。</w:t>
            </w:r>
          </w:p>
        </w:tc>
        <w:tc>
          <w:tcPr>
            <w:tcW w:type="dxa" w:w="1661"/>
          </w:tcPr>
          <w:p>
            <w:pPr>
              <w:pStyle w:val="null3"/>
            </w:pPr>
            <w:r>
              <w:rPr>
                <w:rFonts w:ascii="仿宋_GB2312" w:hAnsi="仿宋_GB2312" w:cs="仿宋_GB2312" w:eastAsia="仿宋_GB2312"/>
              </w:rPr>
              <w:t>投标函 供应商控股管理关系声明.docx</w:t>
            </w:r>
          </w:p>
        </w:tc>
      </w:tr>
    </w:tbl>
    <w:p>
      <w:pPr>
        <w:pStyle w:val="null3"/>
        <w:outlineLvl w:val="2"/>
      </w:pPr>
      <w:r>
        <w:rPr>
          <w:rFonts w:ascii="仿宋_GB2312" w:hAnsi="仿宋_GB2312" w:cs="仿宋_GB2312" w:eastAsia="仿宋_GB2312"/>
          <w:sz w:val="28"/>
          <w:b/>
        </w:rPr>
        <w:t>4.3落实政府采购政策资格审查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4"/>
          </w:tcPr>
          <w:p>
            <w:pPr>
              <w:pStyle w:val="null3"/>
            </w:pPr>
            <w:r>
              <w:rPr>
                <w:rFonts w:ascii="仿宋_GB2312" w:hAnsi="仿宋_GB2312" w:cs="仿宋_GB2312" w:eastAsia="仿宋_GB2312"/>
              </w:rPr>
              <w:t xml:space="preserve"> 无</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评标办法</w:t>
      </w:r>
    </w:p>
    <w:p>
      <w:pPr>
        <w:pStyle w:val="null3"/>
        <w:outlineLvl w:val="2"/>
      </w:pPr>
      <w:r>
        <w:rPr>
          <w:rFonts w:ascii="仿宋_GB2312" w:hAnsi="仿宋_GB2312" w:cs="仿宋_GB2312" w:eastAsia="仿宋_GB2312"/>
          <w:sz w:val="28"/>
          <w:b/>
        </w:rPr>
        <w:t>5.1总则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货物和服务招标投标管理办法》《陕西省政府采购评审专家管理实施办法》等法律规章，结合采购项目特点制定本评标办法。</w:t>
      </w:r>
    </w:p>
    <w:p>
      <w:pPr>
        <w:pStyle w:val="null3"/>
        <w:ind w:firstLine="480"/>
      </w:pPr>
      <w:r>
        <w:rPr>
          <w:rFonts w:ascii="仿宋_GB2312" w:hAnsi="仿宋_GB2312" w:cs="仿宋_GB2312" w:eastAsia="仿宋_GB2312"/>
        </w:rPr>
        <w:t xml:space="preserve"> 二、评标工作由代理机构负责组织，具体评标事务由采购人或代理机构依法组建的评标委员会负责。评标委员会由采购人代表和评审专家组成。</w:t>
      </w:r>
    </w:p>
    <w:p>
      <w:pPr>
        <w:pStyle w:val="null3"/>
        <w:ind w:firstLine="480"/>
      </w:pPr>
      <w:r>
        <w:rPr>
          <w:rFonts w:ascii="仿宋_GB2312" w:hAnsi="仿宋_GB2312" w:cs="仿宋_GB2312" w:eastAsia="仿宋_GB2312"/>
        </w:rPr>
        <w:t>三、评标工作应遵循公平、公正、科学及择优的原则，并以相同的评标程序和标准对待所有的投标人。</w:t>
      </w:r>
    </w:p>
    <w:p>
      <w:pPr>
        <w:pStyle w:val="null3"/>
        <w:ind w:firstLine="480"/>
      </w:pPr>
      <w:r>
        <w:rPr>
          <w:rFonts w:ascii="仿宋_GB2312" w:hAnsi="仿宋_GB2312" w:cs="仿宋_GB2312" w:eastAsia="仿宋_GB2312"/>
        </w:rPr>
        <w:t xml:space="preserve"> 四、本项目采取电子评标，通过项目电子化交易系统完成评标工作。评标委员会成员、采购人、代理机构和投标人应当按照本招标文件规定和项目电子化交易系统操作要求开展或者参加评标活动。</w:t>
      </w:r>
    </w:p>
    <w:p>
      <w:pPr>
        <w:pStyle w:val="null3"/>
        <w:ind w:firstLine="480"/>
      </w:pPr>
      <w:r>
        <w:rPr>
          <w:rFonts w:ascii="仿宋_GB2312" w:hAnsi="仿宋_GB2312" w:cs="仿宋_GB2312" w:eastAsia="仿宋_GB2312"/>
        </w:rPr>
        <w:t xml:space="preserve"> 五、评标过程中的书面材料往来均通过项目电子化交易系统传递，投标人通过互认的证书及签章加盖其电子印章后生效。出现无法在线签章的特殊情况，评标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标过程应当独立、保密，任何单位和个人不得非法干预评标活动。投标人非法干预评标活动的，其投标文件将作无效处理；代理机构、采购人及其工作人员、采购人监督人员非法干预评标活动的，将依法追究其责任。</w:t>
      </w:r>
    </w:p>
    <w:p>
      <w:pPr>
        <w:pStyle w:val="null3"/>
        <w:outlineLvl w:val="2"/>
      </w:pPr>
      <w:r>
        <w:rPr>
          <w:rFonts w:ascii="仿宋_GB2312" w:hAnsi="仿宋_GB2312" w:cs="仿宋_GB2312" w:eastAsia="仿宋_GB2312"/>
          <w:sz w:val="28"/>
          <w:b/>
        </w:rPr>
        <w:t>5.2评标委员会</w:t>
      </w:r>
    </w:p>
    <w:p>
      <w:pPr>
        <w:pStyle w:val="null3"/>
        <w:ind w:firstLine="480"/>
      </w:pPr>
      <w:r>
        <w:rPr>
          <w:rFonts w:ascii="仿宋_GB2312" w:hAnsi="仿宋_GB2312" w:cs="仿宋_GB2312" w:eastAsia="仿宋_GB2312"/>
        </w:rPr>
        <w:t>一、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二、评标委员会成员应当满足并适应电子化采购评审的工作需要，使用已身份认证并具备签章功能的证书，登录项目电子化交易系统进入项目评审功能模块确认身份、签到、推荐评标委员会组长。采购人代表可以使用采购人代表专用签章确认评审意见。</w:t>
      </w:r>
    </w:p>
    <w:p>
      <w:pPr>
        <w:pStyle w:val="null3"/>
        <w:ind w:firstLine="480"/>
      </w:pPr>
      <w:r>
        <w:rPr>
          <w:rFonts w:ascii="仿宋_GB2312" w:hAnsi="仿宋_GB2312" w:cs="仿宋_GB2312" w:eastAsia="仿宋_GB2312"/>
        </w:rPr>
        <w:t xml:space="preserve"> 三、评标委员会成员获取解密后的投标文件，开展评标活动。出现应当回避的情形时，评标委员会成员应当主动回避；代理机构按规定申请补充抽取评审专家；无法及时补充抽取的，采购人或者代理机构应当封存供应商投标文件，按规定重新组建评标委员会，解封投标文件后，开展评标活动。</w:t>
      </w:r>
    </w:p>
    <w:p>
      <w:pPr>
        <w:pStyle w:val="null3"/>
        <w:ind w:firstLine="480"/>
      </w:pPr>
      <w:r>
        <w:rPr>
          <w:rFonts w:ascii="仿宋_GB2312" w:hAnsi="仿宋_GB2312" w:cs="仿宋_GB2312" w:eastAsia="仿宋_GB2312"/>
        </w:rPr>
        <w:t>四、评标委员会按照招标文件规定的评标程序、评标方法和标准进行评标，并独立履行下列职责：</w:t>
      </w:r>
    </w:p>
    <w:p>
      <w:pPr>
        <w:pStyle w:val="null3"/>
        <w:ind w:firstLine="480"/>
      </w:pPr>
      <w:r>
        <w:rPr>
          <w:rFonts w:ascii="仿宋_GB2312" w:hAnsi="仿宋_GB2312" w:cs="仿宋_GB2312" w:eastAsia="仿宋_GB2312"/>
        </w:rPr>
        <w:t>（一）熟悉和理解招标文件；</w:t>
      </w:r>
    </w:p>
    <w:p>
      <w:pPr>
        <w:pStyle w:val="null3"/>
        <w:ind w:firstLine="480"/>
      </w:pPr>
      <w:r>
        <w:rPr>
          <w:rFonts w:ascii="仿宋_GB2312" w:hAnsi="仿宋_GB2312" w:cs="仿宋_GB2312" w:eastAsia="仿宋_GB2312"/>
        </w:rPr>
        <w:t>（二）审查供应商投标文件等是否满足招标文件要求，并作出评价；</w:t>
      </w:r>
    </w:p>
    <w:p>
      <w:pPr>
        <w:pStyle w:val="null3"/>
        <w:ind w:firstLine="480"/>
      </w:pPr>
      <w:r>
        <w:rPr>
          <w:rFonts w:ascii="仿宋_GB2312" w:hAnsi="仿宋_GB2312" w:cs="仿宋_GB2312" w:eastAsia="仿宋_GB2312"/>
        </w:rPr>
        <w:t xml:space="preserve"> （三）根据需要要求采购组织单位对招标文件作出解释；根据需要要求供应商对投标文件有关事项作出澄清、说明或者更正；</w:t>
      </w:r>
    </w:p>
    <w:p>
      <w:pPr>
        <w:pStyle w:val="null3"/>
        <w:ind w:firstLine="480"/>
      </w:pPr>
      <w:r>
        <w:rPr>
          <w:rFonts w:ascii="仿宋_GB2312" w:hAnsi="仿宋_GB2312" w:cs="仿宋_GB2312" w:eastAsia="仿宋_GB2312"/>
        </w:rPr>
        <w:t>（四）推荐中标候选供应商，或者受采购人委托确定中标供应商；</w:t>
      </w:r>
    </w:p>
    <w:p>
      <w:pPr>
        <w:pStyle w:val="null3"/>
        <w:ind w:firstLine="480"/>
      </w:pPr>
      <w:r>
        <w:rPr>
          <w:rFonts w:ascii="仿宋_GB2312" w:hAnsi="仿宋_GB2312" w:cs="仿宋_GB2312" w:eastAsia="仿宋_GB2312"/>
        </w:rPr>
        <w:t>（五）起草评标报告并进行签署；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5.3 评标方法</w:t>
      </w:r>
    </w:p>
    <w:p>
      <w:pPr>
        <w:pStyle w:val="null3"/>
      </w:pPr>
      <w:r>
        <w:rPr>
          <w:rFonts w:ascii="仿宋_GB2312" w:hAnsi="仿宋_GB2312" w:cs="仿宋_GB2312" w:eastAsia="仿宋_GB2312"/>
        </w:rPr>
        <w:t>采购包1：综合评分法</w:t>
      </w:r>
    </w:p>
    <w:p>
      <w:pPr>
        <w:pStyle w:val="null3"/>
      </w:pPr>
      <w:r>
        <w:rPr>
          <w:rFonts w:ascii="仿宋_GB2312" w:hAnsi="仿宋_GB2312" w:cs="仿宋_GB2312" w:eastAsia="仿宋_GB2312"/>
        </w:rPr>
        <w:t>采购包2：综合评分法</w:t>
      </w:r>
    </w:p>
    <w:p>
      <w:pPr>
        <w:pStyle w:val="null3"/>
        <w:outlineLvl w:val="2"/>
      </w:pPr>
      <w:r>
        <w:rPr>
          <w:rFonts w:ascii="仿宋_GB2312" w:hAnsi="仿宋_GB2312" w:cs="仿宋_GB2312" w:eastAsia="仿宋_GB2312"/>
          <w:sz w:val="28"/>
          <w:b/>
        </w:rPr>
        <w:t>5.4评标程序</w:t>
      </w:r>
    </w:p>
    <w:p>
      <w:pPr>
        <w:pStyle w:val="null3"/>
        <w:outlineLvl w:val="3"/>
      </w:pPr>
      <w:r>
        <w:rPr>
          <w:rFonts w:ascii="仿宋_GB2312" w:hAnsi="仿宋_GB2312" w:cs="仿宋_GB2312" w:eastAsia="仿宋_GB2312"/>
          <w:sz w:val="24"/>
          <w:b/>
        </w:rPr>
        <w:t xml:space="preserve"> 5.4.1熟悉和理解招标文件和停止评标</w:t>
      </w:r>
    </w:p>
    <w:p>
      <w:pPr>
        <w:pStyle w:val="null3"/>
        <w:ind w:firstLine="480"/>
      </w:pPr>
      <w:r>
        <w:rPr>
          <w:rFonts w:ascii="仿宋_GB2312" w:hAnsi="仿宋_GB2312" w:cs="仿宋_GB2312" w:eastAsia="仿宋_GB2312"/>
        </w:rPr>
        <w:t xml:space="preserve"> 一、评标委员会正式评审前，应当对招标文件进行熟悉和理解，内容主要包括招标文件中供应商资格资质性要求、采购项目技术、服务和商务要求、评审方法和标准以及可能涉及签订政府采购合同的内容等。</w:t>
      </w:r>
    </w:p>
    <w:p>
      <w:pPr>
        <w:pStyle w:val="null3"/>
        <w:ind w:firstLine="480"/>
      </w:pPr>
      <w:r>
        <w:rPr>
          <w:rFonts w:ascii="仿宋_GB2312" w:hAnsi="仿宋_GB2312" w:cs="仿宋_GB2312" w:eastAsia="仿宋_GB2312"/>
        </w:rPr>
        <w:t>二、本招标文件有下列情形之一的，评标委员会应当停止评标：</w:t>
      </w:r>
    </w:p>
    <w:p>
      <w:pPr>
        <w:pStyle w:val="null3"/>
        <w:ind w:firstLine="480"/>
      </w:pPr>
      <w:r>
        <w:rPr>
          <w:rFonts w:ascii="仿宋_GB2312" w:hAnsi="仿宋_GB2312" w:cs="仿宋_GB2312" w:eastAsia="仿宋_GB2312"/>
        </w:rPr>
        <w:t>（一）招标文件的规定存在歧义、重大缺陷的；</w:t>
      </w:r>
    </w:p>
    <w:p>
      <w:pPr>
        <w:pStyle w:val="null3"/>
        <w:ind w:firstLine="480"/>
      </w:pPr>
      <w:r>
        <w:rPr>
          <w:rFonts w:ascii="仿宋_GB2312" w:hAnsi="仿宋_GB2312" w:cs="仿宋_GB2312" w:eastAsia="仿宋_GB2312"/>
        </w:rPr>
        <w:t>（二）招标文件明显以不合理条件对供应商实行差别待遇或者歧视待遇的；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（三）采购项目属于国家规定的优先、强制采购范围，但是招标文件未依法体现优先、强制采购相关规定的；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（四）采购项目属于政府采购促进中小企业发展的范围，但是招标文件未依法体现促进中小企业发展相关规定的；</w:t>
      </w:r>
    </w:p>
    <w:p>
      <w:pPr>
        <w:pStyle w:val="null3"/>
        <w:ind w:firstLine="480"/>
      </w:pPr>
      <w:r>
        <w:rPr>
          <w:rFonts w:ascii="仿宋_GB2312" w:hAnsi="仿宋_GB2312" w:cs="仿宋_GB2312" w:eastAsia="仿宋_GB2312"/>
        </w:rPr>
        <w:t xml:space="preserve"> （五）招标文件规定的评标方法是综合评分法、最低评标价法之外的评标方法，或者虽然名称为综合评分法、最低评标价法，但实际上不符合国家规定；</w:t>
      </w:r>
    </w:p>
    <w:p>
      <w:pPr>
        <w:pStyle w:val="null3"/>
        <w:ind w:firstLine="480"/>
      </w:pPr>
      <w:r>
        <w:rPr>
          <w:rFonts w:ascii="仿宋_GB2312" w:hAnsi="仿宋_GB2312" w:cs="仿宋_GB2312" w:eastAsia="仿宋_GB2312"/>
        </w:rPr>
        <w:t>（六）招标文件将投标人的资格条件列为评分因素的；</w:t>
      </w:r>
    </w:p>
    <w:p>
      <w:pPr>
        <w:pStyle w:val="null3"/>
        <w:ind w:firstLine="480"/>
      </w:pPr>
      <w:r>
        <w:rPr>
          <w:rFonts w:ascii="仿宋_GB2312" w:hAnsi="仿宋_GB2312" w:cs="仿宋_GB2312" w:eastAsia="仿宋_GB2312"/>
        </w:rPr>
        <w:t>（七）招标文件有违反国家其他有关强制性规定的情形。</w:t>
      </w:r>
    </w:p>
    <w:p>
      <w:pPr>
        <w:pStyle w:val="null3"/>
        <w:ind w:firstLine="480"/>
      </w:pPr>
      <w:r>
        <w:rPr>
          <w:rFonts w:ascii="仿宋_GB2312" w:hAnsi="仿宋_GB2312" w:cs="仿宋_GB2312" w:eastAsia="仿宋_GB2312"/>
        </w:rPr>
        <w:t xml:space="preserve"> 出现上述应当停止评标情形的，评标委员会应当通过项目电子化交易系统向采购组织单位提交相关说明材料，说明停止评审的情形和具体理由。除上述情形外，评标委员会不得以任何方式和理由停止评标。</w:t>
      </w:r>
    </w:p>
    <w:p>
      <w:pPr>
        <w:pStyle w:val="null3"/>
        <w:ind w:firstLine="480"/>
        <w:jc w:val="left"/>
      </w:pPr>
      <w:r>
        <w:rPr>
          <w:rFonts w:ascii="仿宋_GB2312" w:hAnsi="仿宋_GB2312" w:cs="仿宋_GB2312" w:eastAsia="仿宋_GB2312"/>
        </w:rPr>
        <w:br/>
        <w:t xml:space="preserve"> 出现上述应当停止评标情形的，采购组织单位应当通过项目电子化交易系统书面告知参加采购活动的供应商，并说明具体原因，同时在陕西省政府采购网公告。采购组织单位认为评标委员会不应当停止评标的，可以书面报告采购项目同级财政部门依法处理，并提供相关证明材料。</w:t>
      </w:r>
    </w:p>
    <w:p>
      <w:pPr>
        <w:pStyle w:val="null3"/>
        <w:outlineLvl w:val="3"/>
      </w:pPr>
      <w:r>
        <w:rPr>
          <w:rFonts w:ascii="仿宋_GB2312" w:hAnsi="仿宋_GB2312" w:cs="仿宋_GB2312" w:eastAsia="仿宋_GB2312"/>
          <w:sz w:val="24"/>
          <w:b/>
        </w:rPr>
        <w:t>5.4.2符合性审查</w:t>
      </w:r>
    </w:p>
    <w:p>
      <w:pPr>
        <w:pStyle w:val="null3"/>
        <w:ind w:firstLine="480"/>
      </w:pPr>
      <w:r>
        <w:rPr>
          <w:rFonts w:ascii="仿宋_GB2312" w:hAnsi="仿宋_GB2312" w:cs="仿宋_GB2312" w:eastAsia="仿宋_GB2312"/>
        </w:rPr>
        <w:t xml:space="preserve"> 评标委员会依据本招标文件的实质性要求，对符合资格的投标文件进行审查，以确定其是否满足本招标文件的实质性要求。本项目符合性审查事项，必须以本招标文件的明确规定的实质性要求作为依据。</w:t>
      </w:r>
    </w:p>
    <w:p>
      <w:pPr>
        <w:pStyle w:val="null3"/>
        <w:ind w:firstLine="480"/>
      </w:pPr>
      <w:r>
        <w:rPr>
          <w:rFonts w:ascii="仿宋_GB2312" w:hAnsi="仿宋_GB2312" w:cs="仿宋_GB2312" w:eastAsia="仿宋_GB2312"/>
        </w:rPr>
        <w:t xml:space="preserve"> 在符合性审查过程中，如果出现评标委员会成员意见不一致的情况，按照少数服从多数的原则确定，但不得违背政府采购基本原则和招标文件规定。</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明显低于其他实质性响应的投标人报价，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 2.投标人提交的相关说明和证明材料，应当加盖投标人（法定名称）电子印章，在评标委员会要求的时间内通过项目电子化交易系统进行提交，否则提交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投标文件的签字盖章</w:t>
            </w:r>
          </w:p>
        </w:tc>
        <w:tc>
          <w:tcPr>
            <w:tcW w:type="dxa" w:w="3322"/>
          </w:tcPr>
          <w:p>
            <w:pPr>
              <w:pStyle w:val="null3"/>
            </w:pPr>
            <w:r>
              <w:rPr>
                <w:rFonts w:ascii="仿宋_GB2312" w:hAnsi="仿宋_GB2312" w:cs="仿宋_GB2312" w:eastAsia="仿宋_GB2312"/>
              </w:rPr>
              <w:t>应符合招标文件的要求且无遗漏。</w:t>
            </w:r>
          </w:p>
        </w:tc>
        <w:tc>
          <w:tcPr>
            <w:tcW w:type="dxa" w:w="1661"/>
          </w:tcPr>
          <w:p>
            <w:pPr>
              <w:pStyle w:val="null3"/>
            </w:pPr>
            <w:r>
              <w:rPr>
                <w:rFonts w:ascii="仿宋_GB2312" w:hAnsi="仿宋_GB2312" w:cs="仿宋_GB2312" w:eastAsia="仿宋_GB2312"/>
              </w:rPr>
              <w:t>开标一览表 产品技术参数表 分项报价表 投标函 实施方案——响应格式.docx 商务应答表 投标文件封面 同类业绩统计样表.docx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投标有效期</w:t>
            </w:r>
          </w:p>
        </w:tc>
        <w:tc>
          <w:tcPr>
            <w:tcW w:type="dxa" w:w="3322"/>
          </w:tcPr>
          <w:p>
            <w:pPr>
              <w:pStyle w:val="null3"/>
            </w:pPr>
            <w:r>
              <w:rPr>
                <w:rFonts w:ascii="仿宋_GB2312" w:hAnsi="仿宋_GB2312" w:cs="仿宋_GB2312" w:eastAsia="仿宋_GB2312"/>
              </w:rPr>
              <w:t>应满足招标文件的要求。</w:t>
            </w:r>
          </w:p>
        </w:tc>
        <w:tc>
          <w:tcPr>
            <w:tcW w:type="dxa" w:w="1661"/>
          </w:tcPr>
          <w:p>
            <w:pPr>
              <w:pStyle w:val="null3"/>
            </w:pPr>
            <w:r>
              <w:rPr>
                <w:rFonts w:ascii="仿宋_GB2312" w:hAnsi="仿宋_GB2312" w:cs="仿宋_GB2312" w:eastAsia="仿宋_GB2312"/>
              </w:rPr>
              <w:t>投标函 投标文件封面</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报价唯一</w:t>
            </w:r>
          </w:p>
        </w:tc>
        <w:tc>
          <w:tcPr>
            <w:tcW w:type="dxa" w:w="3322"/>
          </w:tcPr>
          <w:p>
            <w:pPr>
              <w:pStyle w:val="null3"/>
            </w:pPr>
            <w:r>
              <w:rPr>
                <w:rFonts w:ascii="仿宋_GB2312" w:hAnsi="仿宋_GB2312" w:cs="仿宋_GB2312" w:eastAsia="仿宋_GB2312"/>
              </w:rPr>
              <w:t>同时满足以下条款： （1）报价符合唯一性要求 （2）未超出采购文件规定的最高限价</w:t>
            </w:r>
          </w:p>
        </w:tc>
        <w:tc>
          <w:tcPr>
            <w:tcW w:type="dxa" w:w="1661"/>
          </w:tcPr>
          <w:p>
            <w:pPr>
              <w:pStyle w:val="null3"/>
            </w:pPr>
            <w:r>
              <w:rPr>
                <w:rFonts w:ascii="仿宋_GB2312" w:hAnsi="仿宋_GB2312" w:cs="仿宋_GB2312" w:eastAsia="仿宋_GB2312"/>
              </w:rPr>
              <w:t>开标一览表 分项报价表 投标文件封面</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采购需求响应</w:t>
            </w:r>
          </w:p>
        </w:tc>
        <w:tc>
          <w:tcPr>
            <w:tcW w:type="dxa" w:w="3322"/>
          </w:tcPr>
          <w:p>
            <w:pPr>
              <w:pStyle w:val="null3"/>
            </w:pPr>
            <w:r>
              <w:rPr>
                <w:rFonts w:ascii="仿宋_GB2312" w:hAnsi="仿宋_GB2312" w:cs="仿宋_GB2312" w:eastAsia="仿宋_GB2312"/>
              </w:rPr>
              <w:t>须完全响应招标文件的采购内容及服务要求，且无负偏离。</w:t>
            </w:r>
          </w:p>
        </w:tc>
        <w:tc>
          <w:tcPr>
            <w:tcW w:type="dxa" w:w="1661"/>
          </w:tcPr>
          <w:p>
            <w:pPr>
              <w:pStyle w:val="null3"/>
            </w:pPr>
            <w:r>
              <w:rPr>
                <w:rFonts w:ascii="仿宋_GB2312" w:hAnsi="仿宋_GB2312" w:cs="仿宋_GB2312" w:eastAsia="仿宋_GB2312"/>
              </w:rPr>
              <w:t>开标一览表 产品技术参数表 分项报价表 实施方案——响应格式.docx 商务应答表 投标文件封面 同类业绩统计样表.docx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其他无效条款</w:t>
            </w:r>
          </w:p>
        </w:tc>
        <w:tc>
          <w:tcPr>
            <w:tcW w:type="dxa" w:w="3322"/>
          </w:tcPr>
          <w:p>
            <w:pPr>
              <w:pStyle w:val="null3"/>
            </w:pPr>
            <w:r>
              <w:rPr>
                <w:rFonts w:ascii="仿宋_GB2312" w:hAnsi="仿宋_GB2312" w:cs="仿宋_GB2312" w:eastAsia="仿宋_GB2312"/>
              </w:rPr>
              <w:t>没有出现法律法规或采购文件规定的其他无效情 形。</w:t>
            </w:r>
          </w:p>
        </w:tc>
        <w:tc>
          <w:tcPr>
            <w:tcW w:type="dxa" w:w="1661"/>
          </w:tcPr>
          <w:p>
            <w:pPr>
              <w:pStyle w:val="null3"/>
            </w:pPr>
            <w:r>
              <w:rPr>
                <w:rFonts w:ascii="仿宋_GB2312" w:hAnsi="仿宋_GB2312" w:cs="仿宋_GB2312" w:eastAsia="仿宋_GB2312"/>
              </w:rPr>
              <w:t>开标一览表 产品技术参数表 分项报价表 投标函 实施方案——响应格式.docx 中小企业声明函 残疾人福利性单位声明函 商务应答表 投标文件封面 监狱企业的证明文件</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节能产品认证</w:t>
            </w:r>
          </w:p>
        </w:tc>
        <w:tc>
          <w:tcPr>
            <w:tcW w:type="dxa" w:w="3322"/>
          </w:tcPr>
          <w:p>
            <w:pPr>
              <w:pStyle w:val="null3"/>
            </w:pPr>
            <w:r>
              <w:rPr>
                <w:rFonts w:ascii="仿宋_GB2312" w:hAnsi="仿宋_GB2312" w:cs="仿宋_GB2312" w:eastAsia="仿宋_GB2312"/>
              </w:rPr>
              <w:t>节能产品认证证书</w:t>
            </w:r>
          </w:p>
        </w:tc>
        <w:tc>
          <w:tcPr>
            <w:tcW w:type="dxa" w:w="1661"/>
          </w:tcPr>
          <w:p>
            <w:pPr>
              <w:pStyle w:val="null3"/>
            </w:pPr>
            <w:r>
              <w:rPr>
                <w:rFonts w:ascii="仿宋_GB2312" w:hAnsi="仿宋_GB2312" w:cs="仿宋_GB2312" w:eastAsia="仿宋_GB2312"/>
              </w:rPr>
              <w:t>实施方案——响应格式.docx 投标文件封面</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明显低于其他实质性响应的投标人报价，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 2.投标人提交的相关说明和证明材料，应当加盖投标人（法定名称）电子印章，在评标委员会要求的时间内通过项目电子化交易系统进行提交，否则提交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响应文件的签字盖章</w:t>
            </w:r>
          </w:p>
        </w:tc>
        <w:tc>
          <w:tcPr>
            <w:tcW w:type="dxa" w:w="3322"/>
          </w:tcPr>
          <w:p>
            <w:pPr>
              <w:pStyle w:val="null3"/>
            </w:pPr>
            <w:r>
              <w:rPr>
                <w:rFonts w:ascii="仿宋_GB2312" w:hAnsi="仿宋_GB2312" w:cs="仿宋_GB2312" w:eastAsia="仿宋_GB2312"/>
              </w:rPr>
              <w:t>应符合招标文件的要求且无遗漏。</w:t>
            </w:r>
          </w:p>
        </w:tc>
        <w:tc>
          <w:tcPr>
            <w:tcW w:type="dxa" w:w="1661"/>
          </w:tcPr>
          <w:p>
            <w:pPr>
              <w:pStyle w:val="null3"/>
            </w:pPr>
            <w:r>
              <w:rPr>
                <w:rFonts w:ascii="仿宋_GB2312" w:hAnsi="仿宋_GB2312" w:cs="仿宋_GB2312" w:eastAsia="仿宋_GB2312"/>
              </w:rPr>
              <w:t>开标一览表 产品技术参数表 分项报价表 投标函 实施方案——响应格式.docx 中小企业声明函 商务应答表 投标文件封面</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投标有效期</w:t>
            </w:r>
          </w:p>
        </w:tc>
        <w:tc>
          <w:tcPr>
            <w:tcW w:type="dxa" w:w="3322"/>
          </w:tcPr>
          <w:p>
            <w:pPr>
              <w:pStyle w:val="null3"/>
            </w:pPr>
            <w:r>
              <w:rPr>
                <w:rFonts w:ascii="仿宋_GB2312" w:hAnsi="仿宋_GB2312" w:cs="仿宋_GB2312" w:eastAsia="仿宋_GB2312"/>
              </w:rPr>
              <w:t>应满足招标文件的要求。</w:t>
            </w:r>
          </w:p>
        </w:tc>
        <w:tc>
          <w:tcPr>
            <w:tcW w:type="dxa" w:w="1661"/>
          </w:tcPr>
          <w:p>
            <w:pPr>
              <w:pStyle w:val="null3"/>
            </w:pPr>
            <w:r>
              <w:rPr>
                <w:rFonts w:ascii="仿宋_GB2312" w:hAnsi="仿宋_GB2312" w:cs="仿宋_GB2312" w:eastAsia="仿宋_GB2312"/>
              </w:rPr>
              <w:t>投标函 投标文件封面</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报价唯一</w:t>
            </w:r>
          </w:p>
        </w:tc>
        <w:tc>
          <w:tcPr>
            <w:tcW w:type="dxa" w:w="3322"/>
          </w:tcPr>
          <w:p>
            <w:pPr>
              <w:pStyle w:val="null3"/>
            </w:pPr>
            <w:r>
              <w:rPr>
                <w:rFonts w:ascii="仿宋_GB2312" w:hAnsi="仿宋_GB2312" w:cs="仿宋_GB2312" w:eastAsia="仿宋_GB2312"/>
              </w:rPr>
              <w:t>同时满足以下条款： （1）报价符合唯一性要求 （2）未超出征集文件规定的最高限价</w:t>
            </w:r>
          </w:p>
        </w:tc>
        <w:tc>
          <w:tcPr>
            <w:tcW w:type="dxa" w:w="1661"/>
          </w:tcPr>
          <w:p>
            <w:pPr>
              <w:pStyle w:val="null3"/>
            </w:pPr>
            <w:r>
              <w:rPr>
                <w:rFonts w:ascii="仿宋_GB2312" w:hAnsi="仿宋_GB2312" w:cs="仿宋_GB2312" w:eastAsia="仿宋_GB2312"/>
              </w:rPr>
              <w:t>开标一览表 分项报价表 投标文件封面</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采购需求响应</w:t>
            </w:r>
          </w:p>
        </w:tc>
        <w:tc>
          <w:tcPr>
            <w:tcW w:type="dxa" w:w="3322"/>
          </w:tcPr>
          <w:p>
            <w:pPr>
              <w:pStyle w:val="null3"/>
            </w:pPr>
            <w:r>
              <w:rPr>
                <w:rFonts w:ascii="仿宋_GB2312" w:hAnsi="仿宋_GB2312" w:cs="仿宋_GB2312" w:eastAsia="仿宋_GB2312"/>
              </w:rPr>
              <w:t>须完全响应招标文件的采购内容及服务要求，且无负偏离。</w:t>
            </w:r>
          </w:p>
        </w:tc>
        <w:tc>
          <w:tcPr>
            <w:tcW w:type="dxa" w:w="1661"/>
          </w:tcPr>
          <w:p>
            <w:pPr>
              <w:pStyle w:val="null3"/>
            </w:pPr>
            <w:r>
              <w:rPr>
                <w:rFonts w:ascii="仿宋_GB2312" w:hAnsi="仿宋_GB2312" w:cs="仿宋_GB2312" w:eastAsia="仿宋_GB2312"/>
              </w:rPr>
              <w:t>开标一览表 产品技术参数表 分项报价表 实施方案——响应格式.docx 商务应答表 投标文件封面 同类业绩统计样表.docx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其他无效条款</w:t>
            </w:r>
          </w:p>
        </w:tc>
        <w:tc>
          <w:tcPr>
            <w:tcW w:type="dxa" w:w="3322"/>
          </w:tcPr>
          <w:p>
            <w:pPr>
              <w:pStyle w:val="null3"/>
            </w:pPr>
            <w:r>
              <w:rPr>
                <w:rFonts w:ascii="仿宋_GB2312" w:hAnsi="仿宋_GB2312" w:cs="仿宋_GB2312" w:eastAsia="仿宋_GB2312"/>
              </w:rPr>
              <w:t>没有出现法律法规或招标文件规定的其他无效情形。</w:t>
            </w:r>
          </w:p>
        </w:tc>
        <w:tc>
          <w:tcPr>
            <w:tcW w:type="dxa" w:w="1661"/>
          </w:tcPr>
          <w:p>
            <w:pPr>
              <w:pStyle w:val="null3"/>
            </w:pPr>
            <w:r>
              <w:rPr>
                <w:rFonts w:ascii="仿宋_GB2312" w:hAnsi="仿宋_GB2312" w:cs="仿宋_GB2312" w:eastAsia="仿宋_GB2312"/>
              </w:rPr>
              <w:t>开标一览表 产品技术参数表 分项报价表 投标函 实施方案——响应格式.docx 中小企业声明函 商务应答表 投标文件封面</w:t>
            </w:r>
          </w:p>
        </w:tc>
      </w:tr>
    </w:tbl>
    <w:p>
      <w:pPr>
        <w:pStyle w:val="null3"/>
        <w:ind w:firstLine="480"/>
      </w:pPr>
      <w:r>
        <w:rPr>
          <w:rFonts w:ascii="仿宋_GB2312" w:hAnsi="仿宋_GB2312" w:cs="仿宋_GB2312" w:eastAsia="仿宋_GB2312"/>
        </w:rPr>
        <w:t xml:space="preserve"> 以上实质性要求全部响应并满足采购需求的，则通过符合性审查；如有任意一项未响应或不满足采购需求的，则按无效投标文件处理。如果评标委员会认为投标人有任意一项不通过的，应在符合性审查表中载明不通过的具体原因。</w:t>
      </w:r>
    </w:p>
    <w:p>
      <w:pPr>
        <w:pStyle w:val="null3"/>
        <w:outlineLvl w:val="3"/>
      </w:pPr>
      <w:r>
        <w:rPr>
          <w:rFonts w:ascii="仿宋_GB2312" w:hAnsi="仿宋_GB2312" w:cs="仿宋_GB2312" w:eastAsia="仿宋_GB2312"/>
          <w:sz w:val="24"/>
          <w:b/>
        </w:rPr>
        <w:t>5.4.3解释、澄清有关问题</w:t>
      </w:r>
    </w:p>
    <w:p>
      <w:pPr>
        <w:pStyle w:val="null3"/>
        <w:ind w:firstLine="480"/>
      </w:pPr>
      <w:r>
        <w:rPr>
          <w:rFonts w:ascii="仿宋_GB2312" w:hAnsi="仿宋_GB2312" w:cs="仿宋_GB2312" w:eastAsia="仿宋_GB2312"/>
        </w:rPr>
        <w:t xml:space="preserve"> 一、评标过程中，评标委员会认为招标文件有关事项表述不明确或需要说明的，可以提请代理机构书面解释。代理机构的解释不得改变招标文件的原义或者影响公平、公正，解释事项如果涉及投标人权益的以有利于投标人的原则进行解释。</w:t>
      </w:r>
    </w:p>
    <w:p>
      <w:pPr>
        <w:pStyle w:val="null3"/>
        <w:ind w:firstLine="480"/>
      </w:pPr>
      <w:r>
        <w:rPr>
          <w:rFonts w:ascii="仿宋_GB2312" w:hAnsi="仿宋_GB2312" w:cs="仿宋_GB2312" w:eastAsia="仿宋_GB2312"/>
        </w:rPr>
        <w:t xml:space="preserve"> 二、对投标文件中含义不明确、同类问题表述不一致或者有明显文字和计算错误的内容，评标委员会应当要求投标人作出必要的澄清、说明或更正，并给予投标人必要的反馈时间。投标人应当按评标委员会的要求进行澄清、说明或者更正。投标人的澄清、说明或者更正不得超出投标文件的范围或者改变投标文件的实质性内容。澄清、说明或者更正不影响投标文件的效力，有效的澄清、说明或者更正材料是投标文件的组成部分。</w:t>
      </w:r>
    </w:p>
    <w:p>
      <w:pPr>
        <w:pStyle w:val="null3"/>
        <w:ind w:firstLine="480"/>
      </w:pPr>
      <w:r>
        <w:rPr>
          <w:rFonts w:ascii="仿宋_GB2312" w:hAnsi="仿宋_GB2312" w:cs="仿宋_GB2312" w:eastAsia="仿宋_GB2312"/>
        </w:rPr>
        <w:t xml:space="preserve"> 三、投标人的澄清、说明或者更正需进行电子签章，应当不超出投标文件的范围、不实质性改变投标文件的内容、不影响投标人的公平竞争、不导致投标文件从不响应招标文件变为响应招标文件的条件。下列内容不得澄清：</w:t>
      </w:r>
    </w:p>
    <w:p>
      <w:pPr>
        <w:pStyle w:val="null3"/>
        <w:ind w:firstLine="480"/>
      </w:pPr>
      <w:r>
        <w:rPr>
          <w:rFonts w:ascii="仿宋_GB2312" w:hAnsi="仿宋_GB2312" w:cs="仿宋_GB2312" w:eastAsia="仿宋_GB2312"/>
        </w:rPr>
        <w:t>（一）投标人投标文件中不响应招标文件规定的技术参数指标和商务应答；</w:t>
      </w:r>
    </w:p>
    <w:p>
      <w:pPr>
        <w:pStyle w:val="null3"/>
        <w:ind w:firstLine="480"/>
      </w:pPr>
      <w:r>
        <w:rPr>
          <w:rFonts w:ascii="仿宋_GB2312" w:hAnsi="仿宋_GB2312" w:cs="仿宋_GB2312" w:eastAsia="仿宋_GB2312"/>
        </w:rPr>
        <w:t>（二）投标人投标文件中未提供的证明其是否符合招标文件资格、符合性规定要求的相关材料。</w:t>
      </w:r>
    </w:p>
    <w:p>
      <w:pPr>
        <w:pStyle w:val="null3"/>
        <w:ind w:firstLine="480"/>
      </w:pPr>
      <w:r>
        <w:rPr>
          <w:rFonts w:ascii="仿宋_GB2312" w:hAnsi="仿宋_GB2312" w:cs="仿宋_GB2312" w:eastAsia="仿宋_GB2312"/>
        </w:rPr>
        <w:t>（三）投标人投标文件中的材料因印刷、影印等不清晰而难以辨认的。</w:t>
      </w:r>
    </w:p>
    <w:p>
      <w:pPr>
        <w:pStyle w:val="null3"/>
        <w:ind w:firstLine="480"/>
      </w:pPr>
      <w:r>
        <w:rPr>
          <w:rFonts w:ascii="仿宋_GB2312" w:hAnsi="仿宋_GB2312" w:cs="仿宋_GB2312" w:eastAsia="仿宋_GB2312"/>
        </w:rPr>
        <w:t>四、投标文件报价出现下列情况的，按以下原则处理：</w:t>
      </w:r>
    </w:p>
    <w:p>
      <w:pPr>
        <w:pStyle w:val="null3"/>
        <w:ind w:firstLine="480"/>
      </w:pPr>
      <w:r>
        <w:rPr>
          <w:rFonts w:ascii="仿宋_GB2312" w:hAnsi="仿宋_GB2312" w:cs="仿宋_GB2312" w:eastAsia="仿宋_GB2312"/>
        </w:rPr>
        <w:t>（一）投标文件中开标一览表（报价表）内容与投标文件中相应内容不一致的，以开标一览表（报价表）为准；</w:t>
      </w:r>
    </w:p>
    <w:p>
      <w:pPr>
        <w:pStyle w:val="null3"/>
        <w:ind w:firstLine="480"/>
      </w:pPr>
      <w:r>
        <w:rPr>
          <w:rFonts w:ascii="仿宋_GB2312" w:hAnsi="仿宋_GB2312" w:cs="仿宋_GB2312" w:eastAsia="仿宋_GB2312"/>
        </w:rPr>
        <w:t>（二）大写金额和小写金额不一致的，以大写金额为准，但大写金额出现文字错误，导致金额无法判断的除外；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（三）单价金额小数点或者百分比有明显错位的，以开标一览表总价为准，并修改单价；</w:t>
      </w:r>
    </w:p>
    <w:p>
      <w:pPr>
        <w:pStyle w:val="null3"/>
        <w:ind w:firstLine="480"/>
      </w:pPr>
      <w:r>
        <w:rPr>
          <w:rFonts w:ascii="仿宋_GB2312" w:hAnsi="仿宋_GB2312" w:cs="仿宋_GB2312" w:eastAsia="仿宋_GB2312"/>
        </w:rPr>
        <w:t>（四）总价金额与按单价汇总金额不一致的，以单价金额计算结果为准。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同时出现两种以上不一致的，按照前款规定的顺序修正。修正后的报价经投标人确认后产生约束力，投标人不确认的，其投标无效。</w:t>
      </w:r>
    </w:p>
    <w:p>
      <w:pPr>
        <w:pStyle w:val="null3"/>
        <w:ind w:firstLine="480"/>
      </w:pPr>
      <w:r>
        <w:rPr>
          <w:rFonts w:ascii="仿宋_GB2312" w:hAnsi="仿宋_GB2312" w:cs="仿宋_GB2312" w:eastAsia="仿宋_GB2312"/>
        </w:rPr>
        <w:t>五、对不同语言文本投标文件的解释发生异议的，以中文文本为准。</w:t>
      </w:r>
    </w:p>
    <w:p>
      <w:pPr>
        <w:pStyle w:val="null3"/>
        <w:ind w:firstLine="480"/>
      </w:pPr>
      <w:r>
        <w:rPr>
          <w:rFonts w:ascii="仿宋_GB2312" w:hAnsi="仿宋_GB2312" w:cs="仿宋_GB2312" w:eastAsia="仿宋_GB2312"/>
        </w:rPr>
        <w:t xml:space="preserve"> 六、代理机构宣布评标结束前，投标人应通过项目电子化交易系统随时关注评标消息提示，及时响应评标委员会发出的澄清、说明或更正要求。投标人未能及时响应的，自行承担不利后果。</w:t>
      </w:r>
    </w:p>
    <w:p>
      <w:pPr>
        <w:pStyle w:val="null3"/>
        <w:ind w:firstLine="480"/>
      </w:pPr>
      <w:r>
        <w:rPr>
          <w:rFonts w:ascii="仿宋_GB2312" w:hAnsi="仿宋_GB2312" w:cs="仿宋_GB2312" w:eastAsia="仿宋_GB2312"/>
        </w:rPr>
        <w:t>评标委员会应当积极履行澄清、说明或者更正的职责，不得滥用权力。</w:t>
      </w:r>
    </w:p>
    <w:p>
      <w:pPr>
        <w:pStyle w:val="null3"/>
        <w:outlineLvl w:val="3"/>
      </w:pPr>
      <w:r>
        <w:rPr>
          <w:rFonts w:ascii="仿宋_GB2312" w:hAnsi="仿宋_GB2312" w:cs="仿宋_GB2312" w:eastAsia="仿宋_GB2312"/>
          <w:sz w:val="24"/>
          <w:b/>
        </w:rPr>
        <w:t>5.4.4比较与评价</w:t>
      </w:r>
    </w:p>
    <w:p>
      <w:pPr>
        <w:pStyle w:val="null3"/>
        <w:ind w:firstLine="480"/>
      </w:pPr>
      <w:r>
        <w:rPr>
          <w:rFonts w:ascii="仿宋_GB2312" w:hAnsi="仿宋_GB2312" w:cs="仿宋_GB2312" w:eastAsia="仿宋_GB2312"/>
        </w:rPr>
        <w:t xml:space="preserve"> 评标委员会应当按照招标文件规定的评标细则及标准，对符合性检查合格的投标文件进行商务和技术评估，综合比较和评价。</w:t>
      </w:r>
    </w:p>
    <w:p>
      <w:pPr>
        <w:pStyle w:val="null3"/>
        <w:outlineLvl w:val="3"/>
      </w:pPr>
      <w:r>
        <w:rPr>
          <w:rFonts w:ascii="仿宋_GB2312" w:hAnsi="仿宋_GB2312" w:cs="仿宋_GB2312" w:eastAsia="仿宋_GB2312"/>
          <w:sz w:val="24"/>
          <w:b/>
        </w:rPr>
        <w:t xml:space="preserve"> 5.4.5复核</w:t>
      </w:r>
    </w:p>
    <w:p>
      <w:pPr>
        <w:pStyle w:val="null3"/>
        <w:ind w:firstLine="480"/>
      </w:pPr>
      <w:r>
        <w:rPr>
          <w:rFonts w:ascii="仿宋_GB2312" w:hAnsi="仿宋_GB2312" w:cs="仿宋_GB2312" w:eastAsia="仿宋_GB2312"/>
        </w:rPr>
        <w:t xml:space="preserve"> 评分汇总结束后，评标委员会应当进行复核，对拟推荐为中标候选供应商、报价最低、投标文件被认定为无效等进行重点复核。</w:t>
      </w:r>
    </w:p>
    <w:p>
      <w:pPr>
        <w:pStyle w:val="null3"/>
        <w:ind w:firstLine="480"/>
      </w:pPr>
      <w:r>
        <w:rPr>
          <w:rFonts w:ascii="仿宋_GB2312" w:hAnsi="仿宋_GB2312" w:cs="仿宋_GB2312" w:eastAsia="仿宋_GB2312"/>
        </w:rPr>
        <w:t xml:space="preserve"> 评标结果汇总完成后，评标委员会拟出具评标报告前，代理机构应当组织不少于2名工作人员，在采购监督人员的监督之下，依据有关的法律制度和招标文件对评标结果进行复核，出具复核报告。</w:t>
      </w:r>
    </w:p>
    <w:p>
      <w:pPr>
        <w:pStyle w:val="null3"/>
        <w:ind w:firstLine="480"/>
      </w:pPr>
      <w:r>
        <w:rPr>
          <w:rFonts w:ascii="仿宋_GB2312" w:hAnsi="仿宋_GB2312" w:cs="仿宋_GB2312" w:eastAsia="仿宋_GB2312"/>
        </w:rPr>
        <w:t>评标结果汇总完成后，除下列情形外，任何人不得修改评标结果：</w:t>
      </w:r>
    </w:p>
    <w:p>
      <w:pPr>
        <w:pStyle w:val="null3"/>
        <w:ind w:firstLine="480"/>
      </w:pPr>
      <w:r>
        <w:rPr>
          <w:rFonts w:ascii="仿宋_GB2312" w:hAnsi="仿宋_GB2312" w:cs="仿宋_GB2312" w:eastAsia="仿宋_GB2312"/>
        </w:rPr>
        <w:t>（一）分值汇总计算错误的；</w:t>
      </w:r>
    </w:p>
    <w:p>
      <w:pPr>
        <w:pStyle w:val="null3"/>
        <w:ind w:firstLine="480"/>
      </w:pPr>
      <w:r>
        <w:rPr>
          <w:rFonts w:ascii="仿宋_GB2312" w:hAnsi="仿宋_GB2312" w:cs="仿宋_GB2312" w:eastAsia="仿宋_GB2312"/>
        </w:rPr>
        <w:t>（二）分项评分超出评分标准范围的；</w:t>
      </w:r>
    </w:p>
    <w:p>
      <w:pPr>
        <w:pStyle w:val="null3"/>
        <w:ind w:firstLine="480"/>
      </w:pPr>
      <w:r>
        <w:rPr>
          <w:rFonts w:ascii="仿宋_GB2312" w:hAnsi="仿宋_GB2312" w:cs="仿宋_GB2312" w:eastAsia="仿宋_GB2312"/>
        </w:rPr>
        <w:t>（三）评标委员会成员对客观评审因素评分不一致的；</w:t>
      </w:r>
    </w:p>
    <w:p>
      <w:pPr>
        <w:pStyle w:val="null3"/>
        <w:ind w:firstLine="480"/>
      </w:pPr>
      <w:r>
        <w:rPr>
          <w:rFonts w:ascii="仿宋_GB2312" w:hAnsi="仿宋_GB2312" w:cs="仿宋_GB2312" w:eastAsia="仿宋_GB2312"/>
        </w:rPr>
        <w:t>（四）经评标委员会认定评分畸高、畸低的。</w:t>
      </w:r>
    </w:p>
    <w:p>
      <w:pPr>
        <w:pStyle w:val="null3"/>
        <w:ind w:firstLine="480"/>
      </w:pPr>
      <w:r>
        <w:rPr>
          <w:rFonts w:ascii="仿宋_GB2312" w:hAnsi="仿宋_GB2312" w:cs="仿宋_GB2312" w:eastAsia="仿宋_GB2312"/>
        </w:rPr>
        <w:t xml:space="preserve"> 评标报告签署前，经复核发现存在以上情形之一的，评标委员会应当当场修改评标结果，并在评标报告中记载；评标报告签署后，采购人或者代理机构发现存在以上情形之一的，应当组织原评标委员会进行重新评标，重新评标改变评标结果的，书面报告本级财政部门。</w:t>
      </w:r>
    </w:p>
    <w:p>
      <w:pPr>
        <w:pStyle w:val="null3"/>
        <w:outlineLvl w:val="3"/>
      </w:pPr>
      <w:r>
        <w:rPr>
          <w:rFonts w:ascii="仿宋_GB2312" w:hAnsi="仿宋_GB2312" w:cs="仿宋_GB2312" w:eastAsia="仿宋_GB2312"/>
          <w:sz w:val="24"/>
          <w:b/>
        </w:rPr>
        <w:t>5.4.6确定中标候选人名单</w:t>
      </w:r>
    </w:p>
    <w:p>
      <w:pPr>
        <w:pStyle w:val="null3"/>
      </w:pPr>
      <w:r>
        <w:rPr>
          <w:rFonts w:ascii="仿宋_GB2312" w:hAnsi="仿宋_GB2312" w:cs="仿宋_GB2312" w:eastAsia="仿宋_GB2312"/>
        </w:rPr>
        <w:t>采购包1：</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pPr>
      <w:r>
        <w:rPr>
          <w:rFonts w:ascii="仿宋_GB2312" w:hAnsi="仿宋_GB2312" w:cs="仿宋_GB2312" w:eastAsia="仿宋_GB2312"/>
        </w:rPr>
        <w:t>采购包2：</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outlineLvl w:val="3"/>
      </w:pPr>
      <w:r>
        <w:rPr>
          <w:rFonts w:ascii="仿宋_GB2312" w:hAnsi="仿宋_GB2312" w:cs="仿宋_GB2312" w:eastAsia="仿宋_GB2312"/>
          <w:sz w:val="24"/>
          <w:b/>
        </w:rPr>
        <w:t>5.4.7编写评标报告</w:t>
      </w:r>
    </w:p>
    <w:p>
      <w:pPr>
        <w:pStyle w:val="null3"/>
        <w:ind w:firstLine="480"/>
      </w:pPr>
      <w:r>
        <w:rPr>
          <w:rFonts w:ascii="仿宋_GB2312" w:hAnsi="仿宋_GB2312" w:cs="仿宋_GB2312" w:eastAsia="仿宋_GB2312"/>
        </w:rPr>
        <w:t>评标报告是评标委员会根据全体评标成员签字的评标记录和评标结果编写的报告，其主要内容包括：</w:t>
      </w:r>
    </w:p>
    <w:p>
      <w:pPr>
        <w:pStyle w:val="null3"/>
        <w:ind w:firstLine="480"/>
      </w:pPr>
      <w:r>
        <w:rPr>
          <w:rFonts w:ascii="仿宋_GB2312" w:hAnsi="仿宋_GB2312" w:cs="仿宋_GB2312" w:eastAsia="仿宋_GB2312"/>
        </w:rPr>
        <w:t>一、招标公告刊登的媒体名称、开标日期和地点；</w:t>
      </w:r>
    </w:p>
    <w:p>
      <w:pPr>
        <w:pStyle w:val="null3"/>
        <w:ind w:firstLine="480"/>
      </w:pPr>
      <w:r>
        <w:rPr>
          <w:rFonts w:ascii="仿宋_GB2312" w:hAnsi="仿宋_GB2312" w:cs="仿宋_GB2312" w:eastAsia="仿宋_GB2312"/>
        </w:rPr>
        <w:t>二、投标人名单和评标委员会成员名单；</w:t>
      </w:r>
    </w:p>
    <w:p>
      <w:pPr>
        <w:pStyle w:val="null3"/>
        <w:ind w:firstLine="480"/>
      </w:pPr>
      <w:r>
        <w:rPr>
          <w:rFonts w:ascii="仿宋_GB2312" w:hAnsi="仿宋_GB2312" w:cs="仿宋_GB2312" w:eastAsia="仿宋_GB2312"/>
        </w:rPr>
        <w:t>三、评审方法和标准；</w:t>
      </w:r>
    </w:p>
    <w:p>
      <w:pPr>
        <w:pStyle w:val="null3"/>
        <w:ind w:firstLine="480"/>
      </w:pPr>
      <w:r>
        <w:rPr>
          <w:rFonts w:ascii="仿宋_GB2312" w:hAnsi="仿宋_GB2312" w:cs="仿宋_GB2312" w:eastAsia="仿宋_GB2312"/>
        </w:rPr>
        <w:t>四、开标记录和评审情况及说明，包括投标无效供应商名单及原因；</w:t>
      </w:r>
    </w:p>
    <w:p>
      <w:pPr>
        <w:pStyle w:val="null3"/>
        <w:ind w:firstLine="480"/>
      </w:pPr>
      <w:r>
        <w:rPr>
          <w:rFonts w:ascii="仿宋_GB2312" w:hAnsi="仿宋_GB2312" w:cs="仿宋_GB2312" w:eastAsia="仿宋_GB2312"/>
        </w:rPr>
        <w:t>五、评标结果，确定的中标候选人名单或者经采购人委托直接确定的中标人</w:t>
      </w:r>
    </w:p>
    <w:p>
      <w:pPr>
        <w:pStyle w:val="null3"/>
        <w:ind w:firstLine="480"/>
      </w:pPr>
      <w:r>
        <w:rPr>
          <w:rFonts w:ascii="仿宋_GB2312" w:hAnsi="仿宋_GB2312" w:cs="仿宋_GB2312" w:eastAsia="仿宋_GB2312"/>
        </w:rPr>
        <w:t xml:space="preserve"> 六、其他需要说明的情况，包括评标过程中投标人根据评标委员会要求进行的澄清、说明或者补正，评标委员会成员的更换等；</w:t>
      </w:r>
    </w:p>
    <w:p>
      <w:pPr>
        <w:pStyle w:val="null3"/>
        <w:ind w:firstLine="480"/>
      </w:pPr>
      <w:r>
        <w:rPr>
          <w:rFonts w:ascii="仿宋_GB2312" w:hAnsi="仿宋_GB2312" w:cs="仿宋_GB2312" w:eastAsia="仿宋_GB2312"/>
        </w:rPr>
        <w:t>七、报价最高的投标人为中标候选人的，评标委员会应当对其报价的合理性予以特别说明。</w:t>
      </w:r>
    </w:p>
    <w:p>
      <w:pPr>
        <w:pStyle w:val="null3"/>
        <w:ind w:firstLine="480"/>
      </w:pPr>
      <w:r>
        <w:rPr>
          <w:rFonts w:ascii="仿宋_GB2312" w:hAnsi="仿宋_GB2312" w:cs="仿宋_GB2312" w:eastAsia="仿宋_GB2312"/>
        </w:rPr>
        <w:t xml:space="preserve"> 评标委员会成员应当在评标报告中签字或加盖电子签章确认，对评标过程和结果有不同意见的，应当在评标报告中写明并说明理由。签字但未写明不同意见或者未说明理由的，视同无意见。拒不签字或加盖电子签章又未另行说明其不同意见和理由的，视同同意评标结果。</w:t>
      </w:r>
    </w:p>
    <w:p>
      <w:pPr>
        <w:pStyle w:val="null3"/>
        <w:outlineLvl w:val="2"/>
      </w:pPr>
      <w:r>
        <w:rPr>
          <w:rFonts w:ascii="仿宋_GB2312" w:hAnsi="仿宋_GB2312" w:cs="仿宋_GB2312" w:eastAsia="仿宋_GB2312"/>
          <w:sz w:val="28"/>
          <w:b/>
        </w:rPr>
        <w:t>5.5评标争议处理规则</w:t>
      </w:r>
    </w:p>
    <w:p>
      <w:pPr>
        <w:pStyle w:val="null3"/>
        <w:ind w:firstLine="480"/>
      </w:pPr>
      <w:r>
        <w:rPr>
          <w:rFonts w:ascii="仿宋_GB2312" w:hAnsi="仿宋_GB2312" w:cs="仿宋_GB2312" w:eastAsia="仿宋_GB2312"/>
        </w:rPr>
        <w:t xml:space="preserve"> 评标委员会在评标过程中，对于符合性审查、对投标人文件作无效投标处理及其他需要共同认定的事项存在争议的，应当以少数服从多数的原则作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5.6评标细则及标准</w:t>
      </w:r>
    </w:p>
    <w:p>
      <w:pPr>
        <w:pStyle w:val="null3"/>
        <w:ind w:firstLine="480"/>
      </w:pPr>
      <w:r>
        <w:rPr>
          <w:rFonts w:ascii="仿宋_GB2312" w:hAnsi="仿宋_GB2312" w:cs="仿宋_GB2312" w:eastAsia="仿宋_GB2312"/>
        </w:rPr>
        <w:t xml:space="preserve"> 一、评标委员会只对通过资格审查的投标文件，根据招标文件的要求采用相同的评标程序、评分办法及标准进行评价和比较。</w:t>
      </w:r>
    </w:p>
    <w:p>
      <w:pPr>
        <w:pStyle w:val="null3"/>
        <w:ind w:firstLine="480"/>
      </w:pPr>
      <w:r>
        <w:rPr>
          <w:rFonts w:ascii="仿宋_GB2312" w:hAnsi="仿宋_GB2312" w:cs="仿宋_GB2312" w:eastAsia="仿宋_GB2312"/>
        </w:rPr>
        <w:t>二、评标委员会成员应依据招标文件规定的评分标准和方法独立评审。</w:t>
      </w:r>
    </w:p>
    <w:p>
      <w:pPr>
        <w:pStyle w:val="null3"/>
        <w:outlineLvl w:val="3"/>
      </w:pPr>
      <w:r>
        <w:rPr>
          <w:rFonts w:ascii="仿宋_GB2312" w:hAnsi="仿宋_GB2312" w:cs="仿宋_GB2312" w:eastAsia="仿宋_GB2312"/>
          <w:sz w:val="24"/>
          <w:b/>
        </w:rPr>
        <w:t>5.6.1评分办法</w:t>
      </w:r>
    </w:p>
    <w:p>
      <w:pPr>
        <w:pStyle w:val="null3"/>
        <w:ind w:firstLine="480"/>
      </w:pPr>
      <w:r>
        <w:rPr>
          <w:rFonts w:ascii="仿宋_GB2312" w:hAnsi="仿宋_GB2312" w:cs="仿宋_GB2312" w:eastAsia="仿宋_GB2312"/>
        </w:rPr>
        <w:t>若采用综合评分法的，由评标委员会各成员对通过资格检查和符合性审查的投标人的投标文件进行独立评审。 投标报价得分=（评标基准价／投标报价）×100</w:t>
      </w:r>
    </w:p>
    <w:p>
      <w:pPr>
        <w:pStyle w:val="null3"/>
        <w:ind w:firstLine="480"/>
      </w:pPr>
      <w:r>
        <w:rPr>
          <w:rFonts w:ascii="仿宋_GB2312" w:hAnsi="仿宋_GB2312" w:cs="仿宋_GB2312" w:eastAsia="仿宋_GB2312"/>
        </w:rPr>
        <w:t>评标总得分＝F1×A1＋F2×A2＋……＋Fn×An</w:t>
      </w:r>
    </w:p>
    <w:p>
      <w:pPr>
        <w:pStyle w:val="null3"/>
        <w:ind w:firstLine="480"/>
      </w:pPr>
      <w:r>
        <w:rPr>
          <w:rFonts w:ascii="仿宋_GB2312" w:hAnsi="仿宋_GB2312" w:cs="仿宋_GB2312" w:eastAsia="仿宋_GB2312"/>
        </w:rPr>
        <w:t>F1、F2……Fn分别为各项评审因素的得分；</w:t>
      </w:r>
    </w:p>
    <w:p>
      <w:pPr>
        <w:pStyle w:val="null3"/>
        <w:ind w:firstLine="480"/>
      </w:pPr>
      <w:r>
        <w:rPr>
          <w:rFonts w:ascii="仿宋_GB2312" w:hAnsi="仿宋_GB2312" w:cs="仿宋_GB2312" w:eastAsia="仿宋_GB2312"/>
        </w:rPr>
        <w:t>A1、A2、……An 分别为各项评审因素所占的权重（A1＋A2＋……＋An＝1）。</w:t>
      </w:r>
    </w:p>
    <w:p>
      <w:pPr>
        <w:pStyle w:val="null3"/>
        <w:ind w:firstLine="480"/>
      </w:pPr>
      <w:r>
        <w:rPr>
          <w:rFonts w:ascii="仿宋_GB2312" w:hAnsi="仿宋_GB2312" w:cs="仿宋_GB2312" w:eastAsia="仿宋_GB2312"/>
        </w:rPr>
        <w:t>评标过程中，不得去掉报价中的最高报价和最低报价。</w:t>
      </w:r>
    </w:p>
    <w:p>
      <w:pPr>
        <w:pStyle w:val="null3"/>
        <w:ind w:firstLine="480"/>
      </w:pPr>
      <w:r>
        <w:rPr>
          <w:rFonts w:ascii="仿宋_GB2312" w:hAnsi="仿宋_GB2312" w:cs="仿宋_GB2312" w:eastAsia="仿宋_GB2312"/>
        </w:rPr>
        <w:t>因落实政府采购政策进行价格调整的，以调整后的价格计算评标基准价和投标报价。</w:t>
      </w:r>
    </w:p>
    <w:p>
      <w:pPr>
        <w:pStyle w:val="null3"/>
        <w:outlineLvl w:val="3"/>
      </w:pPr>
      <w:r>
        <w:rPr>
          <w:rFonts w:ascii="仿宋_GB2312" w:hAnsi="仿宋_GB2312" w:cs="仿宋_GB2312" w:eastAsia="仿宋_GB2312"/>
          <w:sz w:val="24"/>
          <w:b/>
        </w:rPr>
        <w:t>5.6.2评分标准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详细评审100.00分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投标报价</w:t>
            </w:r>
          </w:p>
        </w:tc>
        <w:tc>
          <w:tcPr>
            <w:tcW w:type="dxa" w:w="2492"/>
          </w:tcPr>
          <w:p>
            <w:pPr>
              <w:pStyle w:val="null3"/>
            </w:pPr>
            <w:r>
              <w:rPr>
                <w:rFonts w:ascii="仿宋_GB2312" w:hAnsi="仿宋_GB2312" w:cs="仿宋_GB2312" w:eastAsia="仿宋_GB2312"/>
              </w:rPr>
              <w:t>满足招标文件要求且投标价格最低的投标报价为评标基准价，其价格分为满分。其他供应商的价格分统一按照下列公式计算：投标报价得分=(评标基准价/投标报价)×30（小数点后保留两位）</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分项报价表</w:t>
            </w:r>
          </w:p>
        </w:tc>
      </w:tr>
      <w:tr>
        <w:tc>
          <w:tcPr>
            <w:tcW w:type="dxa" w:w="831"/>
            <w:vMerge/>
          </w:tcPr>
          <w:p/>
        </w:tc>
        <w:tc>
          <w:tcPr>
            <w:tcW w:type="dxa" w:w="1661"/>
          </w:tcPr>
          <w:p>
            <w:pPr>
              <w:pStyle w:val="null3"/>
            </w:pPr>
            <w:r>
              <w:rPr>
                <w:rFonts w:ascii="仿宋_GB2312" w:hAnsi="仿宋_GB2312" w:cs="仿宋_GB2312" w:eastAsia="仿宋_GB2312"/>
              </w:rPr>
              <w:t>组织实施方案</w:t>
            </w:r>
          </w:p>
        </w:tc>
        <w:tc>
          <w:tcPr>
            <w:tcW w:type="dxa" w:w="2492"/>
          </w:tcPr>
          <w:p>
            <w:pPr>
              <w:pStyle w:val="null3"/>
            </w:pPr>
            <w:r>
              <w:rPr>
                <w:rFonts w:ascii="仿宋_GB2312" w:hAnsi="仿宋_GB2312" w:cs="仿宋_GB2312" w:eastAsia="仿宋_GB2312"/>
              </w:rPr>
              <w:t>总体方案（16分）： 针对该项目须有完善的实施方案体系。包含：①项目实施计划②供货进度保证措施③应急预案措施④安装调试方案；以上内容齐全得16分，每缺少一项内容扣4分,每项内容中每存在一处内容缺陷的扣1分， 本小项扣完为止。 注：(1)以上内容要素完整且描述清晰是指：①内容与项目技术服务需求吻合、层次细化，不限于上述内容的文字、图片、表格等形式呈现内容，并满足本项目要求；②内容从实际出发，切合项目背景、项目需求以及市场供应情况发现问题并提出合理化专业技术建议或者解决方案；③内容符合国家、地方、行业标准、行业惯例以及项目特点。④内容清楚明了、表述规范、含义准确。（2）缺陷指：项目名称、涉及的规范、标准与本项目要求不一致、内容与项目无关、内容表述错误、内容前后表述矛盾、内容不满足本项目实际情况需要、与项目不匹配。</w:t>
            </w:r>
          </w:p>
        </w:tc>
        <w:tc>
          <w:tcPr>
            <w:tcW w:type="dxa" w:w="831"/>
          </w:tcPr>
          <w:p>
            <w:pPr>
              <w:pStyle w:val="null3"/>
              <w:jc w:val="right"/>
            </w:pPr>
            <w:r>
              <w:rPr>
                <w:rFonts w:ascii="仿宋_GB2312" w:hAnsi="仿宋_GB2312" w:cs="仿宋_GB2312" w:eastAsia="仿宋_GB2312"/>
              </w:rPr>
              <w:t>16.0000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实施方案——响应格式.docx</w:t>
            </w:r>
          </w:p>
        </w:tc>
      </w:tr>
      <w:tr>
        <w:tc>
          <w:tcPr>
            <w:tcW w:type="dxa" w:w="831"/>
            <w:vMerge/>
          </w:tcPr>
          <w:p/>
        </w:tc>
        <w:tc>
          <w:tcPr>
            <w:tcW w:type="dxa" w:w="1661"/>
          </w:tcPr>
          <w:p>
            <w:pPr>
              <w:pStyle w:val="null3"/>
            </w:pPr>
            <w:r>
              <w:rPr>
                <w:rFonts w:ascii="仿宋_GB2312" w:hAnsi="仿宋_GB2312" w:cs="仿宋_GB2312" w:eastAsia="仿宋_GB2312"/>
              </w:rPr>
              <w:t>质量保证方案</w:t>
            </w:r>
          </w:p>
        </w:tc>
        <w:tc>
          <w:tcPr>
            <w:tcW w:type="dxa" w:w="2492"/>
          </w:tcPr>
          <w:p>
            <w:pPr>
              <w:pStyle w:val="null3"/>
            </w:pPr>
            <w:r>
              <w:rPr>
                <w:rFonts w:ascii="仿宋_GB2312" w:hAnsi="仿宋_GB2312" w:cs="仿宋_GB2312" w:eastAsia="仿宋_GB2312"/>
              </w:rPr>
              <w:t>供应商提供针对本项目具体可行的①质量保证方案及措施②能够保质保量完成本次项目的服务方案③具体可行的质量保证承诺；上述内容全面完整，合理、可行性较强、具有针对性的，得9分，每缺一项内容，扣3分，每一项内容中每出现一处错误和不足的，扣一分，扣完位置。 说明:错误或不足是指只是简单的复制采购需求内容而没有具体详细阐述;非专门针对本项目或与本项目需求不匹配的情形;方案内容脱离项目实际情况;方案内容与采购需求不符合;方案内容缺乏执行性;涉及的规范及标准错误;方案编排混乱、语义表述不清楚、方案内容矛盾;项目信息(项目名称、地点区域等)错误;方案仅有框架或标题无实质性内容;方案明显套用其他项目内容等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实施方案——响应格式.docx</w:t>
            </w:r>
          </w:p>
        </w:tc>
      </w:tr>
      <w:tr>
        <w:tc>
          <w:tcPr>
            <w:tcW w:type="dxa" w:w="831"/>
            <w:vMerge/>
          </w:tcPr>
          <w:p/>
        </w:tc>
        <w:tc>
          <w:tcPr>
            <w:tcW w:type="dxa" w:w="1661"/>
          </w:tcPr>
          <w:p>
            <w:pPr>
              <w:pStyle w:val="null3"/>
            </w:pPr>
            <w:r>
              <w:rPr>
                <w:rFonts w:ascii="仿宋_GB2312" w:hAnsi="仿宋_GB2312" w:cs="仿宋_GB2312" w:eastAsia="仿宋_GB2312"/>
              </w:rPr>
              <w:t>设备产品</w:t>
            </w:r>
          </w:p>
        </w:tc>
        <w:tc>
          <w:tcPr>
            <w:tcW w:type="dxa" w:w="2492"/>
          </w:tcPr>
          <w:p>
            <w:pPr>
              <w:pStyle w:val="null3"/>
            </w:pPr>
            <w:r>
              <w:rPr>
                <w:rFonts w:ascii="仿宋_GB2312" w:hAnsi="仿宋_GB2312" w:cs="仿宋_GB2312" w:eastAsia="仿宋_GB2312"/>
              </w:rPr>
              <w:t>1.产品合法来源资料（10分） 提供所投产品、配件货源渠道正常，确保无假货、水货、翻新货，技术资料齐全，无产权纠纷，提供相关证明资料(包括但不限于厂家授权、销售协议、代理协议等)，提供所投产品的证明文件扫描件或复印件并加盖投标人公章得10分。不提供不得分。 2.产品详细资料（20分）： 投标人需提供所投产品技术参数和产品检验报告、产品彩页等相关资料（包含但不限于型号、彩图、规格、材质、工艺流程）； （1）★项，共1项，满足得6分，不满足不得分； （2）▲项，共7项，每满足一项得2分，不满足不得分，本小项总分14分。</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实施方案——响应格式.docx</w:t>
            </w:r>
          </w:p>
        </w:tc>
      </w:tr>
      <w:tr>
        <w:tc>
          <w:tcPr>
            <w:tcW w:type="dxa" w:w="831"/>
            <w:vMerge/>
          </w:tcPr>
          <w:p/>
        </w:tc>
        <w:tc>
          <w:tcPr>
            <w:tcW w:type="dxa" w:w="1661"/>
          </w:tcPr>
          <w:p>
            <w:pPr>
              <w:pStyle w:val="null3"/>
            </w:pPr>
            <w:r>
              <w:rPr>
                <w:rFonts w:ascii="仿宋_GB2312" w:hAnsi="仿宋_GB2312" w:cs="仿宋_GB2312" w:eastAsia="仿宋_GB2312"/>
              </w:rPr>
              <w:t>业绩证明</w:t>
            </w:r>
          </w:p>
        </w:tc>
        <w:tc>
          <w:tcPr>
            <w:tcW w:type="dxa" w:w="2492"/>
          </w:tcPr>
          <w:p>
            <w:pPr>
              <w:pStyle w:val="null3"/>
            </w:pPr>
            <w:r>
              <w:rPr>
                <w:rFonts w:ascii="仿宋_GB2312" w:hAnsi="仿宋_GB2312" w:cs="仿宋_GB2312" w:eastAsia="仿宋_GB2312"/>
              </w:rPr>
              <w:t>提供 2022年 8 月以来由投标人完成的同类项目的供货合同（以合同签订日期为准），每个 2分，最多计6分。 提供合同复印件并加盖公章。</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同类业绩统计样表.docx</w:t>
            </w:r>
          </w:p>
        </w:tc>
      </w:tr>
      <w:tr>
        <w:tc>
          <w:tcPr>
            <w:tcW w:type="dxa" w:w="831"/>
            <w:vMerge/>
          </w:tcPr>
          <w:p/>
        </w:tc>
        <w:tc>
          <w:tcPr>
            <w:tcW w:type="dxa" w:w="1661"/>
          </w:tcPr>
          <w:p>
            <w:pPr>
              <w:pStyle w:val="null3"/>
            </w:pPr>
            <w:r>
              <w:rPr>
                <w:rFonts w:ascii="仿宋_GB2312" w:hAnsi="仿宋_GB2312" w:cs="仿宋_GB2312" w:eastAsia="仿宋_GB2312"/>
              </w:rPr>
              <w:t>服务保障</w:t>
            </w:r>
          </w:p>
        </w:tc>
        <w:tc>
          <w:tcPr>
            <w:tcW w:type="dxa" w:w="2492"/>
          </w:tcPr>
          <w:p>
            <w:pPr>
              <w:pStyle w:val="null3"/>
            </w:pPr>
            <w:r>
              <w:rPr>
                <w:rFonts w:ascii="仿宋_GB2312" w:hAnsi="仿宋_GB2312" w:cs="仿宋_GB2312" w:eastAsia="仿宋_GB2312"/>
              </w:rPr>
              <w:t>售后服务及质保期维修方案（9分） ： 投标人针对本项目制定售后服务方案，内容包含：①售后服务网点及售后服务人员安排；②日常维护内容和操作流程；③故障解决措施及处理时间；④售后服务质量保证措施及服务承诺等内容： 按其方案内容完整详尽、方案可行、充分响应项目要求程度进行评分： （1）服务方案科学合理、可行性高、响应程度高得6-9分； （2）服务方案一般、可行性一般、响应程度一般得3-5分； （3）服务方案可行性和响应程度较低得1-2分； 不提供不得分。</w:t>
            </w:r>
          </w:p>
        </w:tc>
        <w:tc>
          <w:tcPr>
            <w:tcW w:type="dxa" w:w="831"/>
          </w:tcPr>
          <w:p>
            <w:pPr>
              <w:pStyle w:val="null3"/>
              <w:jc w:val="right"/>
            </w:pPr>
            <w:r>
              <w:rPr>
                <w:rFonts w:ascii="仿宋_GB2312" w:hAnsi="仿宋_GB2312" w:cs="仿宋_GB2312" w:eastAsia="仿宋_GB2312"/>
              </w:rPr>
              <w:t>9.0000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实施方案——响应格式.docx</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1661"/>
          </w:tcPr>
          <w:p>
            <w:pPr>
              <w:pStyle w:val="null3"/>
            </w:pPr>
            <w:r>
              <w:rPr>
                <w:rFonts w:ascii="仿宋_GB2312" w:hAnsi="仿宋_GB2312" w:cs="仿宋_GB2312" w:eastAsia="仿宋_GB2312"/>
              </w:rPr>
              <w:t>小型、微型企业，监狱企业，残疾人福利性单位</w:t>
            </w:r>
          </w:p>
        </w:tc>
        <w:tc>
          <w:tcPr>
            <w:tcW w:type="dxa" w:w="1661"/>
          </w:tcPr>
          <w:p>
            <w:pPr>
              <w:pStyle w:val="null3"/>
            </w:pPr>
            <w:r>
              <w:rPr>
                <w:rFonts w:ascii="仿宋_GB2312" w:hAnsi="仿宋_GB2312" w:cs="仿宋_GB2312" w:eastAsia="仿宋_GB2312"/>
              </w:rPr>
              <w:t>投标人或联合体成员均为小型、微型企业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pPr>
            <w:r>
              <w:rPr>
                <w:rFonts w:ascii="仿宋_GB2312" w:hAnsi="仿宋_GB2312" w:cs="仿宋_GB2312" w:eastAsia="仿宋_GB2312"/>
              </w:rPr>
              <w:t>对于经主管预算单位统筹后未预留份额专门面向中小企业采购的采购项目，以及预留份额项目中的非预留部分采购包，对符合《政府采购促进中小企业发展管理办法》（财库〔2020〕46号）规定的小微企业报价给予C1的扣除，用扣除后的价格参加评审。承接本项目的供应商符合相应条件时，给予C1的价格扣除，即：评标价=最后报价×（1-C1）;监狱企业与残疾人福利性单位视同小型、微型企业，享受同等价格扣除，当企业属性重复时，不重复价格扣除</w:t>
            </w:r>
          </w:p>
        </w:tc>
        <w:tc>
          <w:tcPr>
            <w:tcW w:type="dxa" w:w="1661"/>
          </w:tcPr>
          <w:p>
            <w:pPr>
              <w:pStyle w:val="null3"/>
            </w:pPr>
            <w:r>
              <w:rPr>
                <w:rFonts w:ascii="仿宋_GB2312" w:hAnsi="仿宋_GB2312" w:cs="仿宋_GB2312" w:eastAsia="仿宋_GB2312"/>
              </w:rPr>
              <w:t>中小企业声明函</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详细评审100.00分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投标报价</w:t>
            </w:r>
          </w:p>
        </w:tc>
        <w:tc>
          <w:tcPr>
            <w:tcW w:type="dxa" w:w="2492"/>
          </w:tcPr>
          <w:p>
            <w:pPr>
              <w:pStyle w:val="null3"/>
            </w:pPr>
            <w:r>
              <w:rPr>
                <w:rFonts w:ascii="仿宋_GB2312" w:hAnsi="仿宋_GB2312" w:cs="仿宋_GB2312" w:eastAsia="仿宋_GB2312"/>
              </w:rPr>
              <w:t>满足招标文件要求且投标价格最低的投标报价为评标基准价，其价格分为满分。其他供应商的价格分统一按照下列公式计算：投标报价得分=(评标基准价/投标报价)×30（小数点后保留两位）</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分项报价表</w:t>
            </w:r>
          </w:p>
        </w:tc>
      </w:tr>
      <w:tr>
        <w:tc>
          <w:tcPr>
            <w:tcW w:type="dxa" w:w="831"/>
            <w:vMerge/>
          </w:tcPr>
          <w:p/>
        </w:tc>
        <w:tc>
          <w:tcPr>
            <w:tcW w:type="dxa" w:w="1661"/>
          </w:tcPr>
          <w:p>
            <w:pPr>
              <w:pStyle w:val="null3"/>
            </w:pPr>
            <w:r>
              <w:rPr>
                <w:rFonts w:ascii="仿宋_GB2312" w:hAnsi="仿宋_GB2312" w:cs="仿宋_GB2312" w:eastAsia="仿宋_GB2312"/>
              </w:rPr>
              <w:t>组织实施方案</w:t>
            </w:r>
          </w:p>
        </w:tc>
        <w:tc>
          <w:tcPr>
            <w:tcW w:type="dxa" w:w="2492"/>
          </w:tcPr>
          <w:p>
            <w:pPr>
              <w:pStyle w:val="null3"/>
            </w:pPr>
            <w:r>
              <w:rPr>
                <w:rFonts w:ascii="仿宋_GB2312" w:hAnsi="仿宋_GB2312" w:cs="仿宋_GB2312" w:eastAsia="仿宋_GB2312"/>
              </w:rPr>
              <w:t>总体方案（10分）： 针对该项目须有完善的实施方案体系。包含：①项目实施计划；②供货进度保证措施；③应急预案措施；④安装调试方案；上述内容全面完整，合理、可行性较强、具有针对性的，根据响应程度得分，最高得10分，每缺一项内容，扣2.5分，每一项内容中每出现一处错误和不足的，扣一分，扣完为止。 说明:错误或不足是指只是简单的复制采购需求内容而没有具体详细阐述;非专门针对本项目或与本项目需求不匹配的情形;方案内容脱离项目实际情况;方案内容与采购需求不符合;方案内容缺乏执行性;涉及的规范及标准错误;方案编排混乱、语义表述不清楚、方案内容矛盾;项目信息(项目名称、地点区域等)错误;方案仅有框架或标题无实质性内容;方案明显套用其他项目内容等任意一种情形。</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实施方案——响应格式.docx</w:t>
            </w:r>
          </w:p>
        </w:tc>
      </w:tr>
      <w:tr>
        <w:tc>
          <w:tcPr>
            <w:tcW w:type="dxa" w:w="831"/>
            <w:vMerge/>
          </w:tcPr>
          <w:p/>
        </w:tc>
        <w:tc>
          <w:tcPr>
            <w:tcW w:type="dxa" w:w="1661"/>
          </w:tcPr>
          <w:p>
            <w:pPr>
              <w:pStyle w:val="null3"/>
            </w:pPr>
            <w:r>
              <w:rPr>
                <w:rFonts w:ascii="仿宋_GB2312" w:hAnsi="仿宋_GB2312" w:cs="仿宋_GB2312" w:eastAsia="仿宋_GB2312"/>
              </w:rPr>
              <w:t>质量保证方案</w:t>
            </w:r>
          </w:p>
        </w:tc>
        <w:tc>
          <w:tcPr>
            <w:tcW w:type="dxa" w:w="2492"/>
          </w:tcPr>
          <w:p>
            <w:pPr>
              <w:pStyle w:val="null3"/>
            </w:pPr>
            <w:r>
              <w:rPr>
                <w:rFonts w:ascii="仿宋_GB2312" w:hAnsi="仿宋_GB2312" w:cs="仿宋_GB2312" w:eastAsia="仿宋_GB2312"/>
              </w:rPr>
              <w:t>质量保证方案（9分）： 供应商提供针对本项目具体可行的①质量保证方案及措施②能够保质保量完成本次项目的服务方案③具体可行的质量保证承诺；上述内容全面完整，合理、可行性较强、具有针对性的，得9分，每缺一项内容，扣3分，每一项内容中每出现一处错误和不足的，扣一分，扣完位置。 说明:错误或不足是指只是简单的复制采购需求内容而没有具体详细阐述;非专门针对本项目或与本项目需求不匹配的情形;方案内容脱离项目实际情况;方案内容与采购需求不符合;方案内容缺乏执行性;涉及的规范及标准错误;方案编排混乱、语义表述不清楚、方案内容矛盾;项目信息(项目名称、地点区域等)错误;方案仅有框架或标题无实质性内容;方案明显套用其他项目内容等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实施方案——响应格式.docx</w:t>
            </w:r>
          </w:p>
        </w:tc>
      </w:tr>
      <w:tr>
        <w:tc>
          <w:tcPr>
            <w:tcW w:type="dxa" w:w="831"/>
            <w:vMerge/>
          </w:tcPr>
          <w:p/>
        </w:tc>
        <w:tc>
          <w:tcPr>
            <w:tcW w:type="dxa" w:w="1661"/>
          </w:tcPr>
          <w:p>
            <w:pPr>
              <w:pStyle w:val="null3"/>
            </w:pPr>
            <w:r>
              <w:rPr>
                <w:rFonts w:ascii="仿宋_GB2312" w:hAnsi="仿宋_GB2312" w:cs="仿宋_GB2312" w:eastAsia="仿宋_GB2312"/>
              </w:rPr>
              <w:t>业绩证明</w:t>
            </w:r>
          </w:p>
        </w:tc>
        <w:tc>
          <w:tcPr>
            <w:tcW w:type="dxa" w:w="2492"/>
          </w:tcPr>
          <w:p>
            <w:pPr>
              <w:pStyle w:val="null3"/>
            </w:pPr>
            <w:r>
              <w:rPr>
                <w:rFonts w:ascii="仿宋_GB2312" w:hAnsi="仿宋_GB2312" w:cs="仿宋_GB2312" w:eastAsia="仿宋_GB2312"/>
              </w:rPr>
              <w:t>投标人提供 2022年8月以来完成的同类项目合同（以合同签订日期为准），每个2分，最多计10分。 提供合同复印件并加盖公章。</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实施方案——响应格式.docx</w:t>
            </w:r>
          </w:p>
        </w:tc>
      </w:tr>
      <w:tr>
        <w:tc>
          <w:tcPr>
            <w:tcW w:type="dxa" w:w="831"/>
            <w:vMerge/>
          </w:tcPr>
          <w:p/>
        </w:tc>
        <w:tc>
          <w:tcPr>
            <w:tcW w:type="dxa" w:w="1661"/>
          </w:tcPr>
          <w:p>
            <w:pPr>
              <w:pStyle w:val="null3"/>
            </w:pPr>
            <w:r>
              <w:rPr>
                <w:rFonts w:ascii="仿宋_GB2312" w:hAnsi="仿宋_GB2312" w:cs="仿宋_GB2312" w:eastAsia="仿宋_GB2312"/>
              </w:rPr>
              <w:t>售后服务</w:t>
            </w:r>
          </w:p>
        </w:tc>
        <w:tc>
          <w:tcPr>
            <w:tcW w:type="dxa" w:w="2492"/>
          </w:tcPr>
          <w:p>
            <w:pPr>
              <w:pStyle w:val="null3"/>
            </w:pPr>
            <w:r>
              <w:rPr>
                <w:rFonts w:ascii="仿宋_GB2312" w:hAnsi="仿宋_GB2312" w:cs="仿宋_GB2312" w:eastAsia="仿宋_GB2312"/>
              </w:rPr>
              <w:t>售后服务及质保期维修方案（11分） ： 投标人针对本项目制定售后服务方案，内容包含：①售后服务网点及售后服务人员安排；②日常维护内容和操作流程；③故障解决措施及处理时间；④售后服务质量保证措施及服务承诺等内容： 按其方案内容完整详尽、方案可行、充分响应项目要求程度进行评分： （1）服务方案科学合理、可行性高、响应程度高得11-8分； （2）服务方案一般、可行性一般、响应程度一般得7-4分； （3）服务方案可行性和响应程度较低得3-1分； 不提供不得分。</w:t>
            </w:r>
          </w:p>
        </w:tc>
        <w:tc>
          <w:tcPr>
            <w:tcW w:type="dxa" w:w="831"/>
          </w:tcPr>
          <w:p>
            <w:pPr>
              <w:pStyle w:val="null3"/>
              <w:jc w:val="right"/>
            </w:pPr>
            <w:r>
              <w:rPr>
                <w:rFonts w:ascii="仿宋_GB2312" w:hAnsi="仿宋_GB2312" w:cs="仿宋_GB2312" w:eastAsia="仿宋_GB2312"/>
              </w:rPr>
              <w:t>11.0000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技术规格</w:t>
            </w:r>
          </w:p>
        </w:tc>
        <w:tc>
          <w:tcPr>
            <w:tcW w:type="dxa" w:w="2492"/>
          </w:tcPr>
          <w:p>
            <w:pPr>
              <w:pStyle w:val="null3"/>
            </w:pPr>
            <w:r>
              <w:rPr>
                <w:rFonts w:ascii="仿宋_GB2312" w:hAnsi="仿宋_GB2312" w:cs="仿宋_GB2312" w:eastAsia="仿宋_GB2312"/>
              </w:rPr>
              <w:t>响应评审：对采购标的需满足的质量、安全、技术规格、物理特性等要求的响应情况（30分） 根据供应商提供的《技术条款偏离表》对所投产品的技术指标及提供的证明资料(包括但不限于产品技术说明书、产品注册证和登记表、检验报告，技术参数、彩页等相互印证）进行比较和评价，未按要求提供证明材料的按负偏离对待。参数完全满足磋商文件要求计30分。 带★部分为重要条款（共10项），响应时必须提供证明材料，每负偏离或无对应参数响应一条扣2分； 非★条款，每负偏离或无对应参数响应一条扣1分；扣完为止。</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实施方案——响应格式.docx</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ind w:firstLine="480"/>
      </w:pPr>
      <w:r>
        <w:rPr>
          <w:rFonts w:ascii="仿宋_GB2312" w:hAnsi="仿宋_GB2312" w:cs="仿宋_GB2312" w:eastAsia="仿宋_GB2312"/>
        </w:rPr>
        <w:t>说明：</w:t>
      </w:r>
    </w:p>
    <w:p>
      <w:pPr>
        <w:pStyle w:val="null3"/>
        <w:ind w:firstLine="480"/>
      </w:pPr>
      <w:r>
        <w:rPr>
          <w:rFonts w:ascii="仿宋_GB2312" w:hAnsi="仿宋_GB2312" w:cs="仿宋_GB2312" w:eastAsia="仿宋_GB2312"/>
        </w:rPr>
        <w:t>1、评分的取值按四舍五入法，保留小数点后两位；</w:t>
      </w:r>
    </w:p>
    <w:p>
      <w:pPr>
        <w:pStyle w:val="null3"/>
        <w:ind w:firstLine="480"/>
      </w:pPr>
      <w:r>
        <w:rPr>
          <w:rFonts w:ascii="仿宋_GB2312" w:hAnsi="仿宋_GB2312" w:cs="仿宋_GB2312" w:eastAsia="仿宋_GB2312"/>
        </w:rPr>
        <w:t>2、评分标准中要求提供复印件的证明材料须清晰可辨。</w:t>
      </w:r>
    </w:p>
    <w:p>
      <w:pPr>
        <w:pStyle w:val="null3"/>
        <w:ind w:firstLine="480"/>
      </w:pPr>
      <w:r>
        <w:rPr>
          <w:rFonts w:ascii="仿宋_GB2312" w:hAnsi="仿宋_GB2312" w:cs="仿宋_GB2312" w:eastAsia="仿宋_GB2312"/>
        </w:rPr>
        <w:t xml:space="preserve"> 若采用最低评标价法的，投标文件满足招标文件全部实质性要求，且投标报价最低的投标人为中标候选人。采用最低评标价法评标时，除了算术修正和落实政府采购政策需进行的价格扣除外，不能对投标人的投标价格进行任何调整。</w:t>
      </w:r>
    </w:p>
    <w:p>
      <w:pPr>
        <w:pStyle w:val="null3"/>
        <w:outlineLvl w:val="2"/>
      </w:pPr>
      <w:r>
        <w:rPr>
          <w:rFonts w:ascii="仿宋_GB2312" w:hAnsi="仿宋_GB2312" w:cs="仿宋_GB2312" w:eastAsia="仿宋_GB2312"/>
          <w:sz w:val="28"/>
          <w:b/>
        </w:rPr>
        <w:t>5.7废标</w:t>
      </w:r>
    </w:p>
    <w:p>
      <w:pPr>
        <w:pStyle w:val="null3"/>
        <w:ind w:firstLine="480"/>
      </w:pPr>
      <w:r>
        <w:rPr>
          <w:rFonts w:ascii="仿宋_GB2312" w:hAnsi="仿宋_GB2312" w:cs="仿宋_GB2312" w:eastAsia="仿宋_GB2312"/>
        </w:rPr>
        <w:t>本次政府采购活动中，出现下列情形之一的，予以废标：</w:t>
      </w:r>
    </w:p>
    <w:p>
      <w:pPr>
        <w:pStyle w:val="null3"/>
        <w:ind w:firstLine="480"/>
      </w:pPr>
      <w:r>
        <w:rPr>
          <w:rFonts w:ascii="仿宋_GB2312" w:hAnsi="仿宋_GB2312" w:cs="仿宋_GB2312" w:eastAsia="仿宋_GB2312"/>
        </w:rPr>
        <w:t>一、符合专业条件的投标人或者对招标文件作实质响应的投标人不足三家的；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三、投标人的报价均超过了采购预算，采购人不能支付的；</w:t>
      </w:r>
    </w:p>
    <w:p>
      <w:pPr>
        <w:pStyle w:val="null3"/>
        <w:ind w:firstLine="480"/>
      </w:pPr>
      <w:r>
        <w:rPr>
          <w:rFonts w:ascii="仿宋_GB2312" w:hAnsi="仿宋_GB2312" w:cs="仿宋_GB2312" w:eastAsia="仿宋_GB2312"/>
        </w:rPr>
        <w:t>四、因重大变故，采购任务取消的；</w:t>
      </w:r>
    </w:p>
    <w:p>
      <w:pPr>
        <w:pStyle w:val="null3"/>
        <w:ind w:firstLine="480"/>
      </w:pPr>
      <w:r>
        <w:rPr>
          <w:rFonts w:ascii="仿宋_GB2312" w:hAnsi="仿宋_GB2312" w:cs="仿宋_GB2312" w:eastAsia="仿宋_GB2312"/>
        </w:rPr>
        <w:t xml:space="preserve"> 废标后，代理机构将在“陕西省政府采购网”上公告。对于评标过程中废标的采购项目，评标委员会应当对招标文件是否存在不合理条款进行论证，并出具书面论证意见。</w:t>
      </w:r>
    </w:p>
    <w:p>
      <w:pPr>
        <w:pStyle w:val="null3"/>
        <w:outlineLvl w:val="2"/>
      </w:pPr>
      <w:r>
        <w:rPr>
          <w:rFonts w:ascii="仿宋_GB2312" w:hAnsi="仿宋_GB2312" w:cs="仿宋_GB2312" w:eastAsia="仿宋_GB2312"/>
          <w:sz w:val="28"/>
          <w:b/>
        </w:rPr>
        <w:t>5.8定标</w:t>
      </w:r>
    </w:p>
    <w:p>
      <w:pPr>
        <w:pStyle w:val="null3"/>
        <w:outlineLvl w:val="3"/>
      </w:pPr>
      <w:r>
        <w:rPr>
          <w:rFonts w:ascii="仿宋_GB2312" w:hAnsi="仿宋_GB2312" w:cs="仿宋_GB2312" w:eastAsia="仿宋_GB2312"/>
          <w:sz w:val="24"/>
          <w:b/>
        </w:rPr>
        <w:t>5.8.1 定标原则</w:t>
      </w:r>
    </w:p>
    <w:p>
      <w:pPr>
        <w:pStyle w:val="null3"/>
      </w:pPr>
      <w:r>
        <w:rPr>
          <w:rFonts w:ascii="仿宋_GB2312" w:hAnsi="仿宋_GB2312" w:cs="仿宋_GB2312" w:eastAsia="仿宋_GB2312"/>
        </w:rPr>
        <w:t>采购人在评标报告确定的中标候选人名单中按顺序确定1名中标人。中标候选人并列的，由采购人采取随机抽取的方式确定中标人。</w:t>
      </w:r>
    </w:p>
    <w:p>
      <w:pPr>
        <w:pStyle w:val="null3"/>
        <w:outlineLvl w:val="3"/>
      </w:pPr>
      <w:r>
        <w:rPr>
          <w:rFonts w:ascii="仿宋_GB2312" w:hAnsi="仿宋_GB2312" w:cs="仿宋_GB2312" w:eastAsia="仿宋_GB2312"/>
          <w:sz w:val="24"/>
          <w:b/>
        </w:rPr>
        <w:t>5.8.2定标程序</w:t>
      </w:r>
    </w:p>
    <w:p>
      <w:pPr>
        <w:pStyle w:val="null3"/>
      </w:pPr>
      <w:r>
        <w:rPr>
          <w:rFonts w:ascii="仿宋_GB2312" w:hAnsi="仿宋_GB2312" w:cs="仿宋_GB2312" w:eastAsia="仿宋_GB2312"/>
        </w:rPr>
        <w:t>一、评标委员会在项目电子化交易系统中编制评标情况，生成评标报告。</w:t>
      </w:r>
    </w:p>
    <w:p>
      <w:pPr>
        <w:pStyle w:val="null3"/>
      </w:pPr>
      <w:r>
        <w:rPr>
          <w:rFonts w:ascii="仿宋_GB2312" w:hAnsi="仿宋_GB2312" w:cs="仿宋_GB2312" w:eastAsia="仿宋_GB2312"/>
        </w:rPr>
        <w:t>二、代理机构在评标结束之日起2个工作日内将评标报告送采购人。</w:t>
      </w:r>
    </w:p>
    <w:p>
      <w:pPr>
        <w:pStyle w:val="null3"/>
      </w:pPr>
      <w:r>
        <w:rPr>
          <w:rFonts w:ascii="仿宋_GB2312" w:hAnsi="仿宋_GB2312" w:cs="仿宋_GB2312" w:eastAsia="仿宋_GB2312"/>
        </w:rPr>
        <w:t>三、采购人在收到评标报告后5个工作日内，按照评标报告中推荐的中标候选人顺序确定中标供应商。逾期未确认的，又不能说明合法理由的，视同按评标报告推荐的顺序确定排名第一的中标候选人为中标供应商。</w:t>
      </w:r>
    </w:p>
    <w:p>
      <w:pPr>
        <w:pStyle w:val="null3"/>
      </w:pPr>
      <w:r>
        <w:rPr>
          <w:rFonts w:ascii="仿宋_GB2312" w:hAnsi="仿宋_GB2312" w:cs="仿宋_GB2312" w:eastAsia="仿宋_GB2312"/>
        </w:rPr>
        <w:t>四、根据确定的中标供应商，代理机构在陕西省政府采购网上发布中标结果公告，通过项目电子化交易系统向中标供应商发出中标通知书。</w:t>
      </w:r>
    </w:p>
    <w:p>
      <w:pPr>
        <w:pStyle w:val="null3"/>
        <w:outlineLvl w:val="2"/>
      </w:pPr>
      <w:r>
        <w:rPr>
          <w:rFonts w:ascii="仿宋_GB2312" w:hAnsi="仿宋_GB2312" w:cs="仿宋_GB2312" w:eastAsia="仿宋_GB2312"/>
          <w:sz w:val="28"/>
          <w:b/>
        </w:rPr>
        <w:t>5.9评审专家在政府采购活动中承担以下义务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5.10评审专家在政府采购活动中应当遵守以下工作纪律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 不得发表倾向性、引导性意见，不得修改或细化采购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（五）在评审过程中和评审结束后，不得记录、复制或带走任何评审资料，除因配合答复处理供应商的询问、质疑和投诉等事项外，不得向外界透露评审内容。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（七）遵守有关廉洁自律规定，不得私下接触供应商， 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详见附件：分项报价表</w:t>
      </w:r>
    </w:p>
    <w:p>
      <w:pPr>
        <w:pStyle w:val="null3"/>
        <w:ind w:firstLine="960"/>
      </w:pPr>
      <w:r>
        <w:rPr>
          <w:rFonts w:ascii="仿宋_GB2312" w:hAnsi="仿宋_GB2312" w:cs="仿宋_GB2312" w:eastAsia="仿宋_GB2312"/>
        </w:rPr>
        <w:t>详见附件：投标人应提交的相关资格证明材料.docx</w:t>
      </w:r>
    </w:p>
    <w:p>
      <w:pPr>
        <w:pStyle w:val="null3"/>
        <w:ind w:firstLine="960"/>
      </w:pPr>
      <w:r>
        <w:rPr>
          <w:rFonts w:ascii="仿宋_GB2312" w:hAnsi="仿宋_GB2312" w:cs="仿宋_GB2312" w:eastAsia="仿宋_GB2312"/>
        </w:rPr>
        <w:t>详见附件：法定代表人身份证明书或法定代表人授权书.docx</w:t>
      </w:r>
    </w:p>
    <w:p>
      <w:pPr>
        <w:pStyle w:val="null3"/>
        <w:ind w:firstLine="960"/>
      </w:pPr>
      <w:r>
        <w:rPr>
          <w:rFonts w:ascii="仿宋_GB2312" w:hAnsi="仿宋_GB2312" w:cs="仿宋_GB2312" w:eastAsia="仿宋_GB2312"/>
        </w:rPr>
        <w:t>详见附件：西乡县政府采购供应商资格承诺函.docx</w:t>
      </w:r>
    </w:p>
    <w:p>
      <w:pPr>
        <w:pStyle w:val="null3"/>
        <w:ind w:firstLine="960"/>
      </w:pPr>
      <w:r>
        <w:rPr>
          <w:rFonts w:ascii="仿宋_GB2312" w:hAnsi="仿宋_GB2312" w:cs="仿宋_GB2312" w:eastAsia="仿宋_GB2312"/>
        </w:rPr>
        <w:t>详见附件：供应商控股管理关系声明.docx</w:t>
      </w:r>
    </w:p>
    <w:p>
      <w:pPr>
        <w:pStyle w:val="null3"/>
        <w:ind w:firstLine="960"/>
      </w:pPr>
      <w:r>
        <w:rPr>
          <w:rFonts w:ascii="仿宋_GB2312" w:hAnsi="仿宋_GB2312" w:cs="仿宋_GB2312" w:eastAsia="仿宋_GB2312"/>
        </w:rPr>
        <w:t>详见附件：实施方案——响应格式.docx</w:t>
      </w:r>
    </w:p>
    <w:p>
      <w:pPr>
        <w:pStyle w:val="null3"/>
        <w:ind w:firstLine="960"/>
      </w:pPr>
      <w:r>
        <w:rPr>
          <w:rFonts w:ascii="仿宋_GB2312" w:hAnsi="仿宋_GB2312" w:cs="仿宋_GB2312" w:eastAsia="仿宋_GB2312"/>
        </w:rPr>
        <w:t>详见附件：联合体声明.docx</w:t>
      </w:r>
    </w:p>
    <w:p>
      <w:pPr>
        <w:pStyle w:val="null3"/>
        <w:ind w:firstLine="960"/>
      </w:pPr>
      <w:r>
        <w:rPr>
          <w:rFonts w:ascii="仿宋_GB2312" w:hAnsi="仿宋_GB2312" w:cs="仿宋_GB2312" w:eastAsia="仿宋_GB2312"/>
        </w:rPr>
        <w:t>详见附件：同类业绩统计样表.docx</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详见附件：分项报价表</w:t>
      </w:r>
    </w:p>
    <w:p>
      <w:pPr>
        <w:pStyle w:val="null3"/>
        <w:ind w:firstLine="960"/>
      </w:pPr>
      <w:r>
        <w:rPr>
          <w:rFonts w:ascii="仿宋_GB2312" w:hAnsi="仿宋_GB2312" w:cs="仿宋_GB2312" w:eastAsia="仿宋_GB2312"/>
        </w:rPr>
        <w:t>详见附件：法定代表人身份证明书或法定代表人授权书.docx</w:t>
      </w:r>
    </w:p>
    <w:p>
      <w:pPr>
        <w:pStyle w:val="null3"/>
        <w:ind w:firstLine="960"/>
      </w:pPr>
      <w:r>
        <w:rPr>
          <w:rFonts w:ascii="仿宋_GB2312" w:hAnsi="仿宋_GB2312" w:cs="仿宋_GB2312" w:eastAsia="仿宋_GB2312"/>
        </w:rPr>
        <w:t>详见附件：供应商控股管理关系声明.docx</w:t>
      </w:r>
    </w:p>
    <w:p>
      <w:pPr>
        <w:pStyle w:val="null3"/>
        <w:ind w:firstLine="960"/>
      </w:pPr>
      <w:r>
        <w:rPr>
          <w:rFonts w:ascii="仿宋_GB2312" w:hAnsi="仿宋_GB2312" w:cs="仿宋_GB2312" w:eastAsia="仿宋_GB2312"/>
        </w:rPr>
        <w:t>详见附件：实施方案——响应格式.docx</w:t>
      </w:r>
    </w:p>
    <w:p>
      <w:pPr>
        <w:pStyle w:val="null3"/>
        <w:ind w:firstLine="960"/>
      </w:pPr>
      <w:r>
        <w:rPr>
          <w:rFonts w:ascii="仿宋_GB2312" w:hAnsi="仿宋_GB2312" w:cs="仿宋_GB2312" w:eastAsia="仿宋_GB2312"/>
        </w:rPr>
        <w:t>详见附件：投标人应提交的相关资格证明材料.docx</w:t>
      </w:r>
    </w:p>
    <w:p>
      <w:pPr>
        <w:pStyle w:val="null3"/>
        <w:ind w:firstLine="960"/>
      </w:pPr>
      <w:r>
        <w:rPr>
          <w:rFonts w:ascii="仿宋_GB2312" w:hAnsi="仿宋_GB2312" w:cs="仿宋_GB2312" w:eastAsia="仿宋_GB2312"/>
        </w:rPr>
        <w:t>详见附件：西乡县政府采购供应商资格承诺函.docx</w:t>
      </w:r>
    </w:p>
    <w:p>
      <w:pPr>
        <w:pStyle w:val="null3"/>
        <w:ind w:firstLine="960"/>
      </w:pPr>
      <w:r>
        <w:rPr>
          <w:rFonts w:ascii="仿宋_GB2312" w:hAnsi="仿宋_GB2312" w:cs="仿宋_GB2312" w:eastAsia="仿宋_GB2312"/>
        </w:rPr>
        <w:t>详见附件：联合体声明.docx</w:t>
      </w:r>
    </w:p>
    <w:p>
      <w:pPr>
        <w:pStyle w:val="null3"/>
        <w:ind w:firstLine="960"/>
      </w:pPr>
      <w:r>
        <w:rPr>
          <w:rFonts w:ascii="仿宋_GB2312" w:hAnsi="仿宋_GB2312" w:cs="仿宋_GB2312" w:eastAsia="仿宋_GB2312"/>
        </w:rPr>
        <w:t>详见附件：同类业绩统计样表.docx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拟签订合同文本</w:t>
      </w:r>
    </w:p>
    <w:p>
      <w:pPr>
        <w:pStyle w:val="null3"/>
      </w:pPr>
      <w:r>
        <w:rPr>
          <w:rFonts w:ascii="仿宋_GB2312" w:hAnsi="仿宋_GB2312" w:cs="仿宋_GB2312" w:eastAsia="仿宋_GB2312"/>
        </w:rPr>
        <w:t>详见附件：合同模版.docx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jpeg" Type="http://schemas.openxmlformats.org/officeDocument/2006/relationships/image"/><Relationship Id="rId11" Target="media/image6.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jpe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jpe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