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版本号：TZZB-HZ-2025292C20251014001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2025年经济作物(茶叶)提质增效项目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TZZB-HZ-2025292C</w:t>
      </w:r>
      <w:r>
        <w:br/>
      </w:r>
      <w:r>
        <w:br/>
      </w:r>
      <w:r>
        <w:br/>
      </w:r>
    </w:p>
    <w:p>
      <w:pPr>
        <w:pStyle w:val="null3"/>
        <w:jc w:val="center"/>
        <w:outlineLvl w:val="2"/>
      </w:pPr>
      <w:r>
        <w:rPr>
          <w:rFonts w:ascii="仿宋_GB2312" w:hAnsi="仿宋_GB2312" w:cs="仿宋_GB2312" w:eastAsia="仿宋_GB2312"/>
          <w:sz w:val="28"/>
          <w:b/>
        </w:rPr>
        <w:t>西乡县茶产业发展中心</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西乡县茶产业发展中心</w:t>
      </w:r>
      <w:r>
        <w:rPr>
          <w:rFonts w:ascii="仿宋_GB2312" w:hAnsi="仿宋_GB2312" w:cs="仿宋_GB2312" w:eastAsia="仿宋_GB2312"/>
        </w:rPr>
        <w:t>委托，拟对</w:t>
      </w:r>
      <w:r>
        <w:rPr>
          <w:rFonts w:ascii="仿宋_GB2312" w:hAnsi="仿宋_GB2312" w:cs="仿宋_GB2312" w:eastAsia="仿宋_GB2312"/>
        </w:rPr>
        <w:t>2025年经济作物(茶叶)提质增效项目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TZZB-HZ-2025292C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2025年经济作物(茶叶)提质增效项目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采购包1采购单人修剪机、弥雾机(烟雾机)一批 采购包2采购联苯菊酯、虫螨腈一批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采购包1（2025年经济作物(茶叶)提质增效项目合同包1）：属于专门面向中小企业采购。</w:t>
      </w:r>
    </w:p>
    <w:p>
      <w:pPr>
        <w:pStyle w:val="null3"/>
      </w:pPr>
      <w:r>
        <w:rPr>
          <w:rFonts w:ascii="仿宋_GB2312" w:hAnsi="仿宋_GB2312" w:cs="仿宋_GB2312" w:eastAsia="仿宋_GB2312"/>
        </w:rPr>
        <w:t>采购包2（2025年经济作物(茶叶)提质增效项目合同包2）：属于专门面向中小企业采购。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1、供应商须为具有独立承担民事责任能力的法人、其他组织或自然人：出具合法有效的营业执照等国家规定的相关证明，自然人参与的提供其身份证明。</w:t>
      </w:r>
    </w:p>
    <w:p>
      <w:pPr>
        <w:pStyle w:val="null3"/>
      </w:pPr>
      <w:r>
        <w:rPr>
          <w:rFonts w:ascii="仿宋_GB2312" w:hAnsi="仿宋_GB2312" w:cs="仿宋_GB2312" w:eastAsia="仿宋_GB2312"/>
        </w:rPr>
        <w:t>2、供应商应授权合法的人员参加谈判全过程：法定代表人直接参加谈判的，须出具法人身份证（附法定代表人身份证复印件）；法定代表人授权代表参加谈判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1、供应商须为具有独立承担民事责任能力的法人、其他组织或自然人：出具合法有效的营业执照等国家规定的相关证明，自然人参与的提供其身份证明。</w:t>
      </w:r>
    </w:p>
    <w:p>
      <w:pPr>
        <w:pStyle w:val="null3"/>
      </w:pPr>
      <w:r>
        <w:rPr>
          <w:rFonts w:ascii="仿宋_GB2312" w:hAnsi="仿宋_GB2312" w:cs="仿宋_GB2312" w:eastAsia="仿宋_GB2312"/>
        </w:rPr>
        <w:t>2、供应商应授权合法的人员参加谈判全过程：法定代表人直接参加谈判的，须出具法人身份证（附法定代表人身份证复印件）；法定代表人授权代表参加谈判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4、资质证书：供应商须提供有效期内的《农药经营许可证》。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西乡县茶产业发展中心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西乡县汉白路西段1号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0916-6222310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采购包1：195,000.00元</w:t>
            </w:r>
          </w:p>
          <w:p>
            <w:pPr>
              <w:pStyle w:val="null3"/>
            </w:pPr>
            <w:r>
              <w:rPr>
                <w:rFonts w:ascii="仿宋_GB2312" w:hAnsi="仿宋_GB2312" w:cs="仿宋_GB2312" w:eastAsia="仿宋_GB2312"/>
              </w:rPr>
              <w:t>采购包2：180,000.00元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西乡县茶产业发展中心</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西乡县茶产业发展中心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西乡县茶产业发展中心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同正项目管理有限公司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采购包1采购单人修剪机、弥雾机(烟雾机)一批 采购包2采购联苯菊酯、虫螨腈一批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w:t>
      </w:r>
    </w:p>
    <w:p>
      <w:pPr>
        <w:pStyle w:val="null3"/>
      </w:pPr>
      <w:r>
        <w:rPr>
          <w:rFonts w:ascii="仿宋_GB2312" w:hAnsi="仿宋_GB2312" w:cs="仿宋_GB2312" w:eastAsia="仿宋_GB2312"/>
        </w:rPr>
        <w:t>采购包最高限价（元）: 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单人修剪机、弥雾机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联苯菊酯、虫螨腈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标的名称：单人修剪机、弥雾机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1"/>
              <w:gridCol w:w="307"/>
              <w:gridCol w:w="294"/>
              <w:gridCol w:w="1008"/>
            </w:tblGrid>
            <w:tr>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主要技术参数</w:t>
                  </w:r>
                </w:p>
              </w:tc>
            </w:tr>
            <w:tr>
              <w:tc>
                <w:tcPr>
                  <w:tcW w:type="dxa" w:w="4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color w:val="000000"/>
                    </w:rPr>
                    <w:t>单人修剪机</w:t>
                  </w:r>
                </w:p>
                <w:p>
                  <w:pPr>
                    <w:pStyle w:val="null3"/>
                    <w:jc w:val="center"/>
                  </w:pP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p>
                  <w:pPr>
                    <w:pStyle w:val="null3"/>
                    <w:jc w:val="center"/>
                  </w:pP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p>
                  <w:pPr>
                    <w:pStyle w:val="null3"/>
                    <w:jc w:val="center"/>
                  </w:p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总重量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5.8kg</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二冲程汽油机，排量</w:t>
                  </w:r>
                  <w:r>
                    <w:rPr>
                      <w:rFonts w:ascii="仿宋_GB2312" w:hAnsi="仿宋_GB2312" w:cs="仿宋_GB2312" w:eastAsia="仿宋_GB2312"/>
                      <w:sz w:val="20"/>
                      <w:color w:val="000000"/>
                    </w:rPr>
                    <w:t>≥</w:t>
                  </w:r>
                  <w:r>
                    <w:rPr>
                      <w:rFonts w:ascii="仿宋_GB2312" w:hAnsi="仿宋_GB2312" w:cs="仿宋_GB2312" w:eastAsia="仿宋_GB2312"/>
                      <w:sz w:val="20"/>
                      <w:color w:val="000000"/>
                    </w:rPr>
                    <w:t>24CC,</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0.8KW</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往复式切割，刀刃长度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w:t>
                  </w:r>
                  <w:r>
                    <w:rPr>
                      <w:rFonts w:ascii="仿宋_GB2312" w:hAnsi="仿宋_GB2312" w:cs="仿宋_GB2312" w:eastAsia="仿宋_GB2312"/>
                      <w:sz w:val="20"/>
                      <w:color w:val="000000"/>
                    </w:rPr>
                    <w:t>，有效割幅</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撕裂率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0.9%</w:t>
                  </w:r>
                  <w:r>
                    <w:rPr>
                      <w:rFonts w:ascii="仿宋_GB2312" w:hAnsi="仿宋_GB2312" w:cs="仿宋_GB2312" w:eastAsia="仿宋_GB2312"/>
                      <w:sz w:val="20"/>
                      <w:color w:val="000000"/>
                    </w:rPr>
                    <w:t>，漏剪率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0.5%</w:t>
                  </w:r>
                  <w:r>
                    <w:rPr>
                      <w:rFonts w:ascii="仿宋_GB2312" w:hAnsi="仿宋_GB2312" w:cs="仿宋_GB2312" w:eastAsia="仿宋_GB2312"/>
                      <w:sz w:val="20"/>
                      <w:color w:val="000000"/>
                    </w:rPr>
                    <w:t>，耳旁噪音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95dB(A)</w:t>
                  </w:r>
                  <w:r>
                    <w:rPr>
                      <w:rFonts w:ascii="仿宋_GB2312" w:hAnsi="仿宋_GB2312" w:cs="仿宋_GB2312" w:eastAsia="仿宋_GB2312"/>
                      <w:sz w:val="20"/>
                      <w:color w:val="000000"/>
                    </w:rPr>
                    <w:t>；</w:t>
                  </w:r>
                </w:p>
              </w:tc>
            </w:tr>
            <w:tr>
              <w:tc>
                <w:tcPr>
                  <w:tcW w:type="dxa" w:w="4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弥雾机</w:t>
                  </w:r>
                  <w:r>
                    <w:br/>
                  </w:r>
                  <w:r>
                    <w:rPr>
                      <w:rFonts w:ascii="仿宋_GB2312" w:hAnsi="仿宋_GB2312" w:cs="仿宋_GB2312" w:eastAsia="仿宋_GB2312"/>
                      <w:sz w:val="20"/>
                      <w:color w:val="000000"/>
                    </w:rPr>
                    <w:t>(烟雾机)</w:t>
                  </w:r>
                </w:p>
                <w:p>
                  <w:pPr>
                    <w:pStyle w:val="null3"/>
                    <w:jc w:val="center"/>
                  </w:pPr>
                </w:p>
              </w:tc>
              <w:tc>
                <w:tcPr>
                  <w:tcW w:type="dxa" w:w="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p>
                  <w:pPr>
                    <w:pStyle w:val="null3"/>
                    <w:jc w:val="center"/>
                  </w:pP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p>
                  <w:pPr>
                    <w:pStyle w:val="null3"/>
                    <w:jc w:val="center"/>
                  </w:p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1. 外形</w:t>
                  </w:r>
                  <w:r>
                    <w:rPr>
                      <w:rFonts w:ascii="仿宋_GB2312" w:hAnsi="仿宋_GB2312" w:cs="仿宋_GB2312" w:eastAsia="仿宋_GB2312"/>
                      <w:sz w:val="20"/>
                      <w:color w:val="000000"/>
                    </w:rPr>
                    <w:t>:</w:t>
                  </w:r>
                  <w:r>
                    <w:rPr>
                      <w:rFonts w:ascii="仿宋_GB2312" w:hAnsi="仿宋_GB2312" w:cs="仿宋_GB2312" w:eastAsia="仿宋_GB2312"/>
                      <w:sz w:val="20"/>
                      <w:color w:val="000000"/>
                    </w:rPr>
                    <w:t>主机肩挂手提、药箱背负；</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2. 药箱容量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15 </w:t>
                  </w:r>
                  <w:r>
                    <w:rPr>
                      <w:rFonts w:ascii="仿宋_GB2312" w:hAnsi="仿宋_GB2312" w:cs="仿宋_GB2312" w:eastAsia="仿宋_GB2312"/>
                      <w:sz w:val="20"/>
                      <w:color w:val="000000"/>
                    </w:rPr>
                    <w:t>升</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3. 动力类型</w:t>
                  </w:r>
                  <w:r>
                    <w:rPr>
                      <w:rFonts w:ascii="仿宋_GB2312" w:hAnsi="仿宋_GB2312" w:cs="仿宋_GB2312" w:eastAsia="仿宋_GB2312"/>
                      <w:sz w:val="20"/>
                      <w:color w:val="000000"/>
                    </w:rPr>
                    <w:t>:</w:t>
                  </w:r>
                  <w:r>
                    <w:rPr>
                      <w:rFonts w:ascii="仿宋_GB2312" w:hAnsi="仿宋_GB2312" w:cs="仿宋_GB2312" w:eastAsia="仿宋_GB2312"/>
                      <w:sz w:val="20"/>
                      <w:color w:val="000000"/>
                    </w:rPr>
                    <w:t>汽油，油箱容量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升；</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4. 启动方式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电子、手动双模式</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5. 整机净重≤</w:t>
                  </w:r>
                  <w:r>
                    <w:rPr>
                      <w:rFonts w:ascii="仿宋_GB2312" w:hAnsi="仿宋_GB2312" w:cs="仿宋_GB2312" w:eastAsia="仿宋_GB2312"/>
                      <w:sz w:val="20"/>
                      <w:color w:val="000000"/>
                    </w:rPr>
                    <w:t>7.8KG</w:t>
                  </w:r>
                  <w:r>
                    <w:rPr>
                      <w:rFonts w:ascii="仿宋_GB2312" w:hAnsi="仿宋_GB2312" w:cs="仿宋_GB2312" w:eastAsia="仿宋_GB2312"/>
                      <w:sz w:val="20"/>
                      <w:color w:val="000000"/>
                    </w:rPr>
                    <w:t>；</w:t>
                  </w:r>
                </w:p>
              </w:tc>
            </w:tr>
            <w:tr>
              <w:tc>
                <w:tcPr>
                  <w:tcW w:type="dxa" w:w="471"/>
                  <w:vMerge/>
                  <w:tcBorders>
                    <w:top w:val="none" w:color="000000" w:sz="4"/>
                    <w:left w:val="single" w:color="000000" w:sz="4"/>
                    <w:bottom w:val="single" w:color="000000" w:sz="4"/>
                    <w:right w:val="single" w:color="000000" w:sz="4"/>
                  </w:tcBorders>
                </w:tcPr>
                <w:p/>
              </w:tc>
              <w:tc>
                <w:tcPr>
                  <w:tcW w:type="dxa" w:w="307"/>
                  <w:vMerge/>
                  <w:tcBorders>
                    <w:top w:val="none" w:color="000000" w:sz="4"/>
                    <w:left w:val="non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color w:val="000000"/>
                    </w:rPr>
                    <w:t>6. 配套喷药防护用具；</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b/>
                <w:color w:val="000000"/>
              </w:rPr>
              <w:t>注：</w:t>
            </w:r>
            <w:r>
              <w:rPr>
                <w:rFonts w:ascii="仿宋_GB2312" w:hAnsi="仿宋_GB2312" w:cs="仿宋_GB2312" w:eastAsia="仿宋_GB2312"/>
                <w:sz w:val="22"/>
                <w:b/>
                <w:color w:val="000000"/>
              </w:rPr>
              <w:t>1.以上技术参数中标识“★”参数为本项目实质性响应参数，不接受负偏离。需提供与之对应的相关证明材料（第三方机构出具的检测报告/技术白皮书/宣传彩页等），如有负偏离，则按废标处理。</w:t>
            </w:r>
          </w:p>
          <w:p>
            <w:pPr>
              <w:pStyle w:val="null3"/>
              <w:jc w:val="both"/>
            </w:pP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标识</w:t>
            </w:r>
            <w:r>
              <w:rPr>
                <w:rFonts w:ascii="仿宋_GB2312" w:hAnsi="仿宋_GB2312" w:cs="仿宋_GB2312" w:eastAsia="仿宋_GB2312"/>
                <w:sz w:val="22"/>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2"/>
                <w:b/>
                <w:color w:val="000000"/>
              </w:rPr>
              <w:t>”为核心产品。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标的名称：联苯菊酯、虫螨腈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1"/>
              <w:gridCol w:w="307"/>
              <w:gridCol w:w="294"/>
              <w:gridCol w:w="1008"/>
            </w:tblGrid>
            <w:tr>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主要技术参数</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0"/>
                      <w:b/>
                      <w:color w:val="000000"/>
                    </w:rPr>
                    <w:t>联苯菊酯</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0000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0"/>
                      <w:b/>
                      <w:color w:val="000000"/>
                    </w:rPr>
                    <w:t>有效成分含量</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10%</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10m1/</w:t>
                  </w:r>
                  <w:r>
                    <w:rPr>
                      <w:rFonts w:ascii="仿宋_GB2312" w:hAnsi="仿宋_GB2312" w:cs="仿宋_GB2312" w:eastAsia="仿宋_GB2312"/>
                      <w:sz w:val="20"/>
                      <w:b/>
                      <w:color w:val="000000"/>
                    </w:rPr>
                    <w:t>袋.</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0"/>
                      <w:b/>
                      <w:color w:val="000000"/>
                    </w:rPr>
                    <w:t>虫螨腈</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0000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0"/>
                      <w:b/>
                      <w:color w:val="000000"/>
                    </w:rPr>
                    <w:t>有效成分含量</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240</w:t>
                  </w:r>
                  <w:r>
                    <w:rPr>
                      <w:rFonts w:ascii="仿宋_GB2312" w:hAnsi="仿宋_GB2312" w:cs="仿宋_GB2312" w:eastAsia="仿宋_GB2312"/>
                      <w:sz w:val="20"/>
                      <w:b/>
                      <w:color w:val="000000"/>
                    </w:rPr>
                    <w:t>克</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升，</w:t>
                  </w:r>
                  <w:r>
                    <w:rPr>
                      <w:rFonts w:ascii="仿宋_GB2312" w:hAnsi="仿宋_GB2312" w:cs="仿宋_GB2312" w:eastAsia="仿宋_GB2312"/>
                      <w:sz w:val="20"/>
                      <w:b/>
                      <w:color w:val="000000"/>
                    </w:rPr>
                    <w:t>10g/</w:t>
                  </w:r>
                  <w:r>
                    <w:rPr>
                      <w:rFonts w:ascii="仿宋_GB2312" w:hAnsi="仿宋_GB2312" w:cs="仿宋_GB2312" w:eastAsia="仿宋_GB2312"/>
                      <w:sz w:val="20"/>
                      <w:b/>
                      <w:color w:val="000000"/>
                    </w:rPr>
                    <w:t>袋.</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b/>
                <w:color w:val="000000"/>
              </w:rPr>
              <w:t>注：</w:t>
            </w:r>
            <w:r>
              <w:rPr>
                <w:rFonts w:ascii="仿宋_GB2312" w:hAnsi="仿宋_GB2312" w:cs="仿宋_GB2312" w:eastAsia="仿宋_GB2312"/>
                <w:sz w:val="22"/>
                <w:b/>
                <w:color w:val="000000"/>
              </w:rPr>
              <w:t>1.以上技术参数中标识“★”参数为本项目实质性响应参数，不接受负偏离。需提供与之对应的相关证明材料（第三方机构出具的检测报告/技术白皮书/宣传彩页等），如有负偏离，则按废标处理。</w:t>
            </w:r>
          </w:p>
          <w:p>
            <w:pPr>
              <w:pStyle w:val="null3"/>
              <w:jc w:val="both"/>
            </w:pPr>
            <w:r>
              <w:rPr>
                <w:rFonts w:ascii="仿宋_GB2312" w:hAnsi="仿宋_GB2312" w:cs="仿宋_GB2312" w:eastAsia="仿宋_GB2312"/>
                <w:sz w:val="22"/>
                <w:b/>
                <w:color w:val="000000"/>
              </w:rPr>
              <w:t xml:space="preserve">   2.标识“#”为核心产品。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交货1周后组织验收，按照谈判文件、响应文件和合同约定进行验收。该项目根据需要设置出厂检验、到货检验、配套服务检验等多重验收环节。 履约验收方案应当在合同中约定。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交货1周后组织验收，按照谈判文件、响应文件和合同约定进行验收。该项目根据需要设置出厂检验、到货检验、配套服务检验等多重验收环节。 履约验收方案应当在合同中约定。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质保期：1年；在承诺的质保期内对所有产品及时进行免费的售后服务。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保质期：所供药品必须在有效期内，满足采购人使用期限（有效期在2026年12月31日之前）；在承诺的质保期内对所有产品及时进行免费的售后服务。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2.如响应文件中融资相关内容与新政策要求有出入，按照最新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2.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法定代表人直接参加谈判的，须出具法人身份证（附法定代表人身份证复印件）；法定代表人授权代表参加谈判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法定代表人直接参加谈判的，须出具法人身份证（附法定代表人身份证复印件）；法定代表人授权代表参加谈判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供应商须提供有效期内的《农药经营许可证》。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技术参数偏离表.docx 供应商应提交的相关资格证明材料.docx 中小企业声明函.docx 残疾人福利性单位声明函 商务要求应答表.docx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商务要求应答表.docx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商务要求应答表.docx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（2）要求全面响应采购文件，不能有任何采购人不能接受的附加条件；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响应文件封面 技术参数偏离表.docx 供应商应提交的相关资格证明材料.docx 中小企业声明函.docx 残疾人福利性单位声明函 商务要求应答表.docx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技术参数偏离表.docx 供应商应提交的相关资格证明材料.docx 中小企业声明函.docx 残疾人福利性单位声明函 商务要求应答表.docx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商务要求应答表.docx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保质期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商务要求应答表.docx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采购文件，不能有任何采购人不能接受的附加条件;(3)规定不接受选择方案和选择报价(包括交叉折扣)的，供应商提供了选择方案和/或选择报价(包括交叉折扣);(4)提供虚假证明，开具虚假资质，出现虚假应答。</w:t>
            </w:r>
          </w:p>
        </w:tc>
        <w:tc>
          <w:tcPr>
            <w:tcW w:type="dxa" w:w="1661"/>
          </w:tcPr>
          <w:p>
            <w:pPr>
              <w:pStyle w:val="null3"/>
            </w:pPr>
            <w:r>
              <w:rPr>
                <w:rFonts w:ascii="仿宋_GB2312" w:hAnsi="仿宋_GB2312" w:cs="仿宋_GB2312" w:eastAsia="仿宋_GB2312"/>
              </w:rPr>
              <w:t>响应文件封面 技术参数偏离表.docx 供应商应提交的相关资格证明材料.docx 中小企业声明函.docx 残疾人福利性单位声明函 商务要求应答表.docx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谈判小组应当从质量和服务均能满足采购文件实质性响应要求的供应商中，按照最后报价由低到高的顺序提出3名成交候选人。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谈判小组应当从质量和服务均能满足采购文件实质性响应要求的供应商中，按照最后报价由低到高的顺序提出3名成交候选人。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