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0EAF1">
      <w:pPr>
        <w:pStyle w:val="2"/>
        <w:ind w:firstLine="803" w:firstLineChars="200"/>
        <w:rPr>
          <w:rFonts w:hint="eastAsia" w:ascii="黑体" w:hAnsi="黑体" w:eastAsia="黑体" w:cs="黑体"/>
          <w:b/>
          <w:bCs/>
          <w:color w:val="000000" w:themeColor="text1"/>
          <w:kern w:val="2"/>
          <w:sz w:val="40"/>
          <w:szCs w:val="40"/>
          <w:lang w:val="en-US" w:eastAsia="zh-CN" w:bidi="ar-SA"/>
          <w14:textFill>
            <w14:solidFill>
              <w14:schemeClr w14:val="tx1"/>
            </w14:solidFill>
          </w14:textFill>
        </w:rPr>
      </w:pPr>
      <w:r>
        <w:rPr>
          <w:rFonts w:hint="eastAsia" w:ascii="黑体" w:hAnsi="黑体" w:eastAsia="黑体" w:cs="黑体"/>
          <w:b/>
          <w:bCs/>
          <w:color w:val="000000" w:themeColor="text1"/>
          <w:kern w:val="2"/>
          <w:sz w:val="40"/>
          <w:szCs w:val="40"/>
          <w:lang w:val="en-US" w:eastAsia="zh-CN" w:bidi="ar-SA"/>
          <w14:textFill>
            <w14:solidFill>
              <w14:schemeClr w14:val="tx1"/>
            </w14:solidFill>
          </w14:textFill>
        </w:rPr>
        <w:t>2025年经济作物(茶叶)提质增效项目</w:t>
      </w:r>
    </w:p>
    <w:p w14:paraId="14E265FB">
      <w:pPr>
        <w:widowControl/>
        <w:spacing w:line="360" w:lineRule="auto"/>
        <w:jc w:val="center"/>
        <w:outlineLvl w:val="0"/>
        <w:rPr>
          <w:rFonts w:hint="eastAsia" w:ascii="黑体" w:hAnsi="黑体" w:eastAsia="黑体" w:cs="黑体"/>
          <w:b/>
          <w:bCs/>
          <w:color w:val="000000" w:themeColor="text1"/>
          <w:sz w:val="40"/>
          <w:szCs w:val="40"/>
          <w14:textFill>
            <w14:solidFill>
              <w14:schemeClr w14:val="tx1"/>
            </w14:solidFill>
          </w14:textFill>
        </w:rPr>
      </w:pPr>
      <w:r>
        <w:rPr>
          <w:rFonts w:hint="eastAsia" w:ascii="黑体" w:hAnsi="黑体" w:eastAsia="黑体" w:cs="黑体"/>
          <w:b/>
          <w:bCs/>
          <w:color w:val="000000" w:themeColor="text1"/>
          <w:sz w:val="40"/>
          <w:szCs w:val="40"/>
          <w14:textFill>
            <w14:solidFill>
              <w14:schemeClr w14:val="tx1"/>
            </w14:solidFill>
          </w14:textFill>
        </w:rPr>
        <w:t>合同</w:t>
      </w:r>
      <w:r>
        <w:rPr>
          <w:rFonts w:hint="eastAsia" w:ascii="黑体" w:hAnsi="黑体" w:eastAsia="黑体" w:cs="黑体"/>
          <w:b/>
          <w:bCs/>
          <w:color w:val="000000" w:themeColor="text1"/>
          <w:sz w:val="40"/>
          <w:szCs w:val="40"/>
          <w:lang w:val="en-US" w:eastAsia="zh-CN"/>
          <w14:textFill>
            <w14:solidFill>
              <w14:schemeClr w14:val="tx1"/>
            </w14:solidFill>
          </w14:textFill>
        </w:rPr>
        <w:t>主要条款及</w:t>
      </w:r>
      <w:r>
        <w:rPr>
          <w:rFonts w:hint="eastAsia" w:ascii="黑体" w:hAnsi="黑体" w:eastAsia="黑体" w:cs="黑体"/>
          <w:b/>
          <w:bCs/>
          <w:color w:val="000000" w:themeColor="text1"/>
          <w:sz w:val="40"/>
          <w:szCs w:val="40"/>
          <w14:textFill>
            <w14:solidFill>
              <w14:schemeClr w14:val="tx1"/>
            </w14:solidFill>
          </w14:textFill>
        </w:rPr>
        <w:t>格式</w:t>
      </w:r>
      <w:bookmarkStart w:id="36" w:name="_GoBack"/>
      <w:bookmarkEnd w:id="36"/>
    </w:p>
    <w:p w14:paraId="561EC013">
      <w:pPr>
        <w:pStyle w:val="9"/>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u w:val="singl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甲方（买方）：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签订地点：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p>
    <w:p w14:paraId="6E883BD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u w:val="singl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乙方（卖方）：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签订时间：</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p>
    <w:p w14:paraId="452007A6">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default" w:ascii="黑体" w:hAnsi="黑体" w:eastAsia="黑体" w:cs="黑体"/>
          <w:color w:val="000000" w:themeColor="text1"/>
          <w:sz w:val="22"/>
          <w:szCs w:val="22"/>
          <w:highlight w:val="none"/>
          <w:u w:val="singl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项目名称：</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p>
    <w:p w14:paraId="3DAC8B4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为保障买卖双方的合法权益，根据《中华人民共和国</w:t>
      </w:r>
      <w:r>
        <w:rPr>
          <w:rFonts w:hint="eastAsia" w:ascii="黑体" w:hAnsi="黑体" w:eastAsia="黑体" w:cs="黑体"/>
          <w:color w:val="000000" w:themeColor="text1"/>
          <w:sz w:val="22"/>
          <w:szCs w:val="22"/>
          <w:highlight w:val="none"/>
          <w:lang w:val="en-US" w:eastAsia="zh-CN"/>
          <w14:textFill>
            <w14:solidFill>
              <w14:schemeClr w14:val="tx1"/>
            </w14:solidFill>
          </w14:textFill>
        </w:rPr>
        <w:t>民法典</w:t>
      </w:r>
      <w:r>
        <w:rPr>
          <w:rFonts w:hint="eastAsia" w:ascii="黑体" w:hAnsi="黑体" w:eastAsia="黑体" w:cs="黑体"/>
          <w:color w:val="000000" w:themeColor="text1"/>
          <w:sz w:val="22"/>
          <w:szCs w:val="22"/>
          <w:highlight w:val="none"/>
          <w14:textFill>
            <w14:solidFill>
              <w14:schemeClr w14:val="tx1"/>
            </w14:solidFill>
          </w14:textFill>
        </w:rPr>
        <w:t>》及有关法律法规的规定，买卖双方经友好而充分的协商，本着平等互利、自觉自愿的原则，一致同意按下列条款签订本合同：</w:t>
      </w:r>
    </w:p>
    <w:p w14:paraId="48F71794">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0" w:name="_Toc3145"/>
      <w:bookmarkStart w:id="1" w:name="_Toc27665"/>
      <w:bookmarkStart w:id="2" w:name="_Toc30942"/>
      <w:r>
        <w:rPr>
          <w:rFonts w:hint="eastAsia" w:ascii="黑体" w:hAnsi="黑体" w:eastAsia="黑体" w:cs="黑体"/>
          <w:b/>
          <w:color w:val="000000" w:themeColor="text1"/>
          <w:sz w:val="24"/>
          <w:szCs w:val="24"/>
          <w:highlight w:val="none"/>
          <w14:textFill>
            <w14:solidFill>
              <w14:schemeClr w14:val="tx1"/>
            </w14:solidFill>
          </w14:textFill>
        </w:rPr>
        <w:t>一、</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r>
        <w:rPr>
          <w:rFonts w:hint="eastAsia" w:ascii="黑体" w:hAnsi="黑体" w:eastAsia="黑体" w:cs="黑体"/>
          <w:b/>
          <w:color w:val="000000" w:themeColor="text1"/>
          <w:sz w:val="24"/>
          <w:szCs w:val="24"/>
          <w:highlight w:val="none"/>
          <w14:textFill>
            <w14:solidFill>
              <w14:schemeClr w14:val="tx1"/>
            </w14:solidFill>
          </w14:textFill>
        </w:rPr>
        <w:t>名称、型号、数量、金额、数量</w:t>
      </w:r>
      <w:bookmarkEnd w:id="0"/>
      <w:bookmarkEnd w:id="1"/>
      <w:bookmarkEnd w:id="2"/>
    </w:p>
    <w:tbl>
      <w:tblPr>
        <w:tblStyle w:val="7"/>
        <w:tblW w:w="9617"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2084"/>
        <w:gridCol w:w="1137"/>
        <w:gridCol w:w="1308"/>
        <w:gridCol w:w="1292"/>
        <w:gridCol w:w="2129"/>
      </w:tblGrid>
      <w:tr w14:paraId="41B4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exact"/>
        </w:trPr>
        <w:tc>
          <w:tcPr>
            <w:tcW w:w="1667" w:type="dxa"/>
            <w:vAlign w:val="center"/>
          </w:tcPr>
          <w:p w14:paraId="3B6EF5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b/>
                <w:color w:val="000000" w:themeColor="text1"/>
                <w:sz w:val="22"/>
                <w:szCs w:val="22"/>
                <w:highlight w:val="none"/>
                <w14:textFill>
                  <w14:solidFill>
                    <w14:schemeClr w14:val="tx1"/>
                  </w14:solidFill>
                </w14:textFill>
              </w:rPr>
              <w:t>名称</w:t>
            </w:r>
          </w:p>
        </w:tc>
        <w:tc>
          <w:tcPr>
            <w:tcW w:w="2084" w:type="dxa"/>
            <w:vAlign w:val="center"/>
          </w:tcPr>
          <w:p w14:paraId="0B31D8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规格型号</w:t>
            </w:r>
          </w:p>
        </w:tc>
        <w:tc>
          <w:tcPr>
            <w:tcW w:w="1137" w:type="dxa"/>
            <w:vAlign w:val="center"/>
          </w:tcPr>
          <w:p w14:paraId="62C89EE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计量单位</w:t>
            </w:r>
          </w:p>
        </w:tc>
        <w:tc>
          <w:tcPr>
            <w:tcW w:w="1308" w:type="dxa"/>
            <w:vAlign w:val="center"/>
          </w:tcPr>
          <w:p w14:paraId="54FB6DE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数量</w:t>
            </w:r>
          </w:p>
        </w:tc>
        <w:tc>
          <w:tcPr>
            <w:tcW w:w="1292" w:type="dxa"/>
            <w:vAlign w:val="center"/>
          </w:tcPr>
          <w:p w14:paraId="795EC45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单价（元）</w:t>
            </w:r>
          </w:p>
        </w:tc>
        <w:tc>
          <w:tcPr>
            <w:tcW w:w="2129" w:type="dxa"/>
            <w:vAlign w:val="center"/>
          </w:tcPr>
          <w:p w14:paraId="69DF35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总金额（元）</w:t>
            </w:r>
          </w:p>
        </w:tc>
      </w:tr>
      <w:tr w14:paraId="19AA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trPr>
        <w:tc>
          <w:tcPr>
            <w:tcW w:w="1667" w:type="dxa"/>
            <w:vAlign w:val="center"/>
          </w:tcPr>
          <w:p w14:paraId="17F61E1B">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p w14:paraId="77BE358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p w14:paraId="233DC070">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C57A28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599C4624">
            <w:pPr>
              <w:keepNext w:val="0"/>
              <w:keepLines w:val="0"/>
              <w:pageBreakBefore w:val="0"/>
              <w:widowControl w:val="0"/>
              <w:kinsoku/>
              <w:wordWrap/>
              <w:overflowPunct/>
              <w:topLinePunct w:val="0"/>
              <w:autoSpaceDE/>
              <w:autoSpaceDN/>
              <w:bidi w:val="0"/>
              <w:adjustRightInd/>
              <w:snapToGrid/>
              <w:spacing w:line="480" w:lineRule="exact"/>
              <w:ind w:firstLine="220" w:firstLineChars="10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27291DBD">
            <w:pPr>
              <w:keepNext w:val="0"/>
              <w:keepLines w:val="0"/>
              <w:pageBreakBefore w:val="0"/>
              <w:widowControl w:val="0"/>
              <w:kinsoku/>
              <w:wordWrap/>
              <w:overflowPunct/>
              <w:topLinePunct w:val="0"/>
              <w:autoSpaceDE/>
              <w:autoSpaceDN/>
              <w:bidi w:val="0"/>
              <w:adjustRightInd/>
              <w:snapToGrid/>
              <w:spacing w:line="480" w:lineRule="exact"/>
              <w:ind w:firstLine="110" w:firstLineChars="5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038A6C13">
            <w:pPr>
              <w:keepNext w:val="0"/>
              <w:keepLines w:val="0"/>
              <w:pageBreakBefore w:val="0"/>
              <w:widowControl w:val="0"/>
              <w:kinsoku/>
              <w:wordWrap/>
              <w:overflowPunct/>
              <w:topLinePunct w:val="0"/>
              <w:autoSpaceDE/>
              <w:autoSpaceDN/>
              <w:bidi w:val="0"/>
              <w:adjustRightInd/>
              <w:snapToGrid/>
              <w:spacing w:line="480" w:lineRule="exact"/>
              <w:ind w:firstLine="220" w:firstLineChars="10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411048D9">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 </w:t>
            </w:r>
          </w:p>
        </w:tc>
      </w:tr>
      <w:tr w14:paraId="69F9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709010F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AF4B03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79B70F35">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7DD1A20E">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6DB443F1">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6842828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141F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442B2C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42BAE7B2">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78EE2F96">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709D46CA">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048E4F49">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6A7D4B60">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3ECF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35027D4B">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EE7D4C2">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068D52CA">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2B84BEF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4634061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438A28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0C0C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trPr>
        <w:tc>
          <w:tcPr>
            <w:tcW w:w="1667" w:type="dxa"/>
            <w:vAlign w:val="center"/>
          </w:tcPr>
          <w:p w14:paraId="62AE72DC">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b/>
                <w:bCs/>
                <w:color w:val="000000" w:themeColor="text1"/>
                <w:sz w:val="22"/>
                <w:szCs w:val="22"/>
                <w:highlight w:val="none"/>
                <w14:textFill>
                  <w14:solidFill>
                    <w14:schemeClr w14:val="tx1"/>
                  </w14:solidFill>
                </w14:textFill>
              </w:rPr>
              <w:t>合计</w:t>
            </w:r>
          </w:p>
        </w:tc>
        <w:tc>
          <w:tcPr>
            <w:tcW w:w="2084" w:type="dxa"/>
            <w:vAlign w:val="center"/>
          </w:tcPr>
          <w:p w14:paraId="639A5F56">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013B6D4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37D7A86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4D7F09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7EB3462F">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bl>
    <w:p w14:paraId="37EF1D5D">
      <w:pPr>
        <w:keepNext w:val="0"/>
        <w:keepLines w:val="0"/>
        <w:pageBreakBefore w:val="0"/>
        <w:widowControl w:val="0"/>
        <w:kinsoku/>
        <w:wordWrap/>
        <w:overflowPunct/>
        <w:topLinePunct w:val="0"/>
        <w:autoSpaceDE/>
        <w:autoSpaceDN/>
        <w:bidi w:val="0"/>
        <w:adjustRightInd/>
        <w:snapToGrid/>
        <w:spacing w:before="0" w:beforeLines="50"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3" w:name="_Toc12664"/>
      <w:bookmarkStart w:id="4" w:name="_Toc5395"/>
      <w:bookmarkStart w:id="5" w:name="_Toc11002"/>
      <w:r>
        <w:rPr>
          <w:rFonts w:hint="eastAsia" w:ascii="黑体" w:hAnsi="黑体" w:eastAsia="黑体" w:cs="黑体"/>
          <w:b/>
          <w:color w:val="000000" w:themeColor="text1"/>
          <w:sz w:val="24"/>
          <w:szCs w:val="24"/>
          <w:highlight w:val="none"/>
          <w14:textFill>
            <w14:solidFill>
              <w14:schemeClr w14:val="tx1"/>
            </w14:solidFill>
          </w14:textFill>
        </w:rPr>
        <w:t>二、</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r>
        <w:rPr>
          <w:rFonts w:hint="eastAsia" w:ascii="黑体" w:hAnsi="黑体" w:eastAsia="黑体" w:cs="黑体"/>
          <w:b/>
          <w:color w:val="000000" w:themeColor="text1"/>
          <w:sz w:val="24"/>
          <w:szCs w:val="24"/>
          <w:highlight w:val="none"/>
          <w14:textFill>
            <w14:solidFill>
              <w14:schemeClr w14:val="tx1"/>
            </w14:solidFill>
          </w14:textFill>
        </w:rPr>
        <w:t>质量标准及保证</w:t>
      </w:r>
      <w:bookmarkEnd w:id="3"/>
      <w:bookmarkEnd w:id="4"/>
      <w:bookmarkEnd w:id="5"/>
    </w:p>
    <w:p w14:paraId="0278860B">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的质量标准，按下列第（    ）项执行：</w:t>
      </w:r>
    </w:p>
    <w:p w14:paraId="5C7335B4">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（1）按国家标准执行；</w:t>
      </w:r>
    </w:p>
    <w:p w14:paraId="0EA77342">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（2）无国家标准而有行业标准的，按行业标准执行；</w:t>
      </w:r>
    </w:p>
    <w:p w14:paraId="0A6BAD9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（3）无国家和行业标准的，按企业标准和</w:t>
      </w:r>
      <w:r>
        <w:rPr>
          <w:rFonts w:hint="eastAsia" w:ascii="黑体" w:hAnsi="黑体" w:eastAsia="黑体" w:cs="黑体"/>
          <w:color w:val="000000" w:themeColor="text1"/>
          <w:sz w:val="22"/>
          <w:szCs w:val="22"/>
          <w:highlight w:val="none"/>
          <w:lang w:val="en-US" w:eastAsia="zh-CN"/>
          <w14:textFill>
            <w14:solidFill>
              <w14:schemeClr w14:val="tx1"/>
            </w14:solidFill>
          </w14:textFill>
        </w:rPr>
        <w:t>谈判</w:t>
      </w:r>
      <w:r>
        <w:rPr>
          <w:rFonts w:hint="eastAsia" w:ascii="黑体" w:hAnsi="黑体" w:eastAsia="黑体" w:cs="黑体"/>
          <w:color w:val="000000" w:themeColor="text1"/>
          <w:sz w:val="22"/>
          <w:szCs w:val="22"/>
          <w:highlight w:val="none"/>
          <w14:textFill>
            <w14:solidFill>
              <w14:schemeClr w14:val="tx1"/>
            </w14:solidFill>
          </w14:textFill>
        </w:rPr>
        <w:t>文件执行。</w:t>
      </w:r>
    </w:p>
    <w:p w14:paraId="2A08B11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本合同质保</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年</w:t>
      </w:r>
      <w:r>
        <w:rPr>
          <w:rFonts w:hint="eastAsia" w:ascii="黑体" w:hAnsi="黑体" w:eastAsia="黑体" w:cs="黑体"/>
          <w:color w:val="000000" w:themeColor="text1"/>
          <w:sz w:val="22"/>
          <w:szCs w:val="22"/>
          <w:highlight w:val="none"/>
          <w14:textFill>
            <w14:solidFill>
              <w14:schemeClr w14:val="tx1"/>
            </w14:solidFill>
          </w14:textFill>
        </w:rPr>
        <w:t>。自甲方确认验收合格或视为验收合格之日起算，非人为及意外事故损坏的前提下，除易损件外，由乙方负责免费保修；</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超过</w:t>
      </w:r>
      <w:r>
        <w:rPr>
          <w:rFonts w:hint="eastAsia" w:ascii="黑体" w:hAnsi="黑体" w:eastAsia="黑体" w:cs="黑体"/>
          <w:color w:val="000000" w:themeColor="text1"/>
          <w:sz w:val="22"/>
          <w:szCs w:val="22"/>
          <w:highlight w:val="none"/>
          <w:lang w:val="en-US" w:eastAsia="zh-CN"/>
          <w14:textFill>
            <w14:solidFill>
              <w14:schemeClr w14:val="tx1"/>
            </w14:solidFill>
          </w14:textFill>
        </w:rPr>
        <w:t>保质期</w:t>
      </w:r>
      <w:r>
        <w:rPr>
          <w:rFonts w:hint="eastAsia" w:ascii="黑体" w:hAnsi="黑体" w:eastAsia="黑体" w:cs="黑体"/>
          <w:color w:val="000000" w:themeColor="text1"/>
          <w:sz w:val="22"/>
          <w:szCs w:val="22"/>
          <w:highlight w:val="none"/>
          <w14:textFill>
            <w14:solidFill>
              <w14:schemeClr w14:val="tx1"/>
            </w14:solidFill>
          </w14:textFill>
        </w:rPr>
        <w:t>后，乙方可派人进行免费指导维修，甲方需承担更换零配件的费用。</w:t>
      </w:r>
    </w:p>
    <w:p w14:paraId="3D3ED63E">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6" w:name="_Toc19484"/>
      <w:bookmarkStart w:id="7" w:name="_Toc26972"/>
      <w:bookmarkStart w:id="8" w:name="_Toc20909"/>
      <w:r>
        <w:rPr>
          <w:rFonts w:hint="eastAsia" w:ascii="黑体" w:hAnsi="黑体" w:eastAsia="黑体" w:cs="黑体"/>
          <w:b/>
          <w:color w:val="000000" w:themeColor="text1"/>
          <w:sz w:val="24"/>
          <w:szCs w:val="24"/>
          <w:highlight w:val="none"/>
          <w14:textFill>
            <w14:solidFill>
              <w14:schemeClr w14:val="tx1"/>
            </w14:solidFill>
          </w14:textFill>
        </w:rPr>
        <w:t>三、交货方式及费用</w:t>
      </w:r>
      <w:bookmarkEnd w:id="6"/>
      <w:bookmarkEnd w:id="7"/>
      <w:bookmarkEnd w:id="8"/>
    </w:p>
    <w:p w14:paraId="4529569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乙方负责送货至甲方指定地并安装、调试完成。</w:t>
      </w:r>
    </w:p>
    <w:p w14:paraId="2AAC90D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（1）收货单位：</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（2）交货地址：</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w:t>
      </w:r>
    </w:p>
    <w:p w14:paraId="59F3A963">
      <w:pPr>
        <w:keepNext w:val="0"/>
        <w:keepLines w:val="0"/>
        <w:pageBreakBefore w:val="0"/>
        <w:widowControl w:val="0"/>
        <w:kinsoku/>
        <w:wordWrap/>
        <w:overflowPunct/>
        <w:topLinePunct w:val="0"/>
        <w:autoSpaceDE/>
        <w:autoSpaceDN/>
        <w:bidi w:val="0"/>
        <w:adjustRightInd/>
        <w:snapToGrid/>
        <w:spacing w:line="480" w:lineRule="exact"/>
        <w:ind w:left="0" w:leftChars="0" w:firstLine="660" w:firstLineChars="3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（3）联 系 人：</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（4）联系电话：</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w:t>
      </w:r>
    </w:p>
    <w:p w14:paraId="4665079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货到甲方指定地之前费用由乙方承担。</w:t>
      </w:r>
    </w:p>
    <w:p w14:paraId="0161C83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eastAsia="zh-CN"/>
          <w14:textFill>
            <w14:solidFill>
              <w14:schemeClr w14:val="tx1"/>
            </w14:solidFill>
          </w14:textFill>
        </w:rPr>
      </w:pPr>
      <w:bookmarkStart w:id="9" w:name="_Toc24067"/>
      <w:bookmarkStart w:id="10" w:name="_Toc3809"/>
      <w:bookmarkStart w:id="11" w:name="_Toc7122"/>
      <w:r>
        <w:rPr>
          <w:rFonts w:hint="eastAsia" w:ascii="黑体" w:hAnsi="黑体" w:eastAsia="黑体" w:cs="黑体"/>
          <w:b/>
          <w:color w:val="000000" w:themeColor="text1"/>
          <w:sz w:val="24"/>
          <w:szCs w:val="24"/>
          <w:highlight w:val="none"/>
          <w14:textFill>
            <w14:solidFill>
              <w14:schemeClr w14:val="tx1"/>
            </w14:solidFill>
          </w14:textFill>
        </w:rPr>
        <w:t>四、</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bookmarkEnd w:id="9"/>
      <w:bookmarkEnd w:id="10"/>
      <w:bookmarkEnd w:id="11"/>
      <w:r>
        <w:rPr>
          <w:rFonts w:hint="eastAsia" w:ascii="黑体" w:hAnsi="黑体" w:eastAsia="黑体" w:cs="黑体"/>
          <w:b/>
          <w:color w:val="000000" w:themeColor="text1"/>
          <w:sz w:val="24"/>
          <w:szCs w:val="24"/>
          <w:highlight w:val="none"/>
          <w:lang w:val="en-US" w:eastAsia="zh-CN"/>
          <w14:textFill>
            <w14:solidFill>
              <w14:schemeClr w14:val="tx1"/>
            </w14:solidFill>
          </w14:textFill>
        </w:rPr>
        <w:t>交货期</w:t>
      </w:r>
    </w:p>
    <w:p w14:paraId="7B24AEC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乙方于</w:t>
      </w:r>
      <w:r>
        <w:rPr>
          <w:rFonts w:hint="eastAsia" w:ascii="黑体" w:hAnsi="黑体" w:eastAsia="黑体" w:cs="黑体"/>
          <w:color w:val="000000" w:themeColor="text1"/>
          <w:sz w:val="22"/>
          <w:szCs w:val="22"/>
          <w:highlight w:val="none"/>
          <w:u w:val="single"/>
          <w14:textFill>
            <w14:solidFill>
              <w14:schemeClr w14:val="tx1"/>
            </w14:solidFill>
          </w14:textFill>
        </w:rPr>
        <w:t xml:space="preserve">    年   月   日</w:t>
      </w:r>
      <w:r>
        <w:rPr>
          <w:rFonts w:hint="eastAsia" w:ascii="黑体" w:hAnsi="黑体" w:eastAsia="黑体" w:cs="黑体"/>
          <w:color w:val="000000" w:themeColor="text1"/>
          <w:sz w:val="22"/>
          <w:szCs w:val="22"/>
          <w:highlight w:val="none"/>
          <w14:textFill>
            <w14:solidFill>
              <w14:schemeClr w14:val="tx1"/>
            </w14:solidFill>
          </w14:textFill>
        </w:rPr>
        <w:t>前将货送到甲方指定地，甲方应于货到之日起一个工作日内给予接收。</w:t>
      </w:r>
    </w:p>
    <w:p w14:paraId="1AF5C76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产品毁损、灭失等风险，按照合同约定的交货日期交付之前由乙方承担，交付之后由甲方承担。</w:t>
      </w:r>
    </w:p>
    <w:p w14:paraId="0964480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甲方违反合同的约定拒绝接收或延期接收货物的，甲方应承担由此给乙方造成的损失，包括但不仅限于保管费、人员差旅费及货物的损毁和灭失的风险等。</w:t>
      </w:r>
    </w:p>
    <w:p w14:paraId="70B27939">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val="en-US" w:eastAsia="zh-CN"/>
          <w14:textFill>
            <w14:solidFill>
              <w14:schemeClr w14:val="tx1"/>
            </w14:solidFill>
          </w14:textFill>
        </w:rPr>
      </w:pPr>
      <w:bookmarkStart w:id="12" w:name="_Toc18990"/>
      <w:bookmarkStart w:id="13" w:name="_Toc27966"/>
      <w:bookmarkStart w:id="14" w:name="_Toc13078"/>
      <w:r>
        <w:rPr>
          <w:rFonts w:hint="eastAsia" w:ascii="黑体" w:hAnsi="黑体" w:eastAsia="黑体" w:cs="黑体"/>
          <w:b/>
          <w:color w:val="000000" w:themeColor="text1"/>
          <w:sz w:val="24"/>
          <w:szCs w:val="24"/>
          <w:highlight w:val="none"/>
          <w14:textFill>
            <w14:solidFill>
              <w14:schemeClr w14:val="tx1"/>
            </w14:solidFill>
          </w14:textFill>
        </w:rPr>
        <w:t>五、</w:t>
      </w:r>
      <w:r>
        <w:rPr>
          <w:rFonts w:hint="eastAsia" w:ascii="黑体" w:hAnsi="黑体" w:eastAsia="黑体" w:cs="黑体"/>
          <w:b/>
          <w:color w:val="000000" w:themeColor="text1"/>
          <w:sz w:val="24"/>
          <w:szCs w:val="24"/>
          <w:highlight w:val="none"/>
          <w:lang w:val="en-US" w:eastAsia="zh-CN"/>
          <w14:textFill>
            <w14:solidFill>
              <w14:schemeClr w14:val="tx1"/>
            </w14:solidFill>
          </w14:textFill>
        </w:rPr>
        <w:t>项目检验及验收</w:t>
      </w:r>
      <w:r>
        <w:rPr>
          <w:rFonts w:hint="eastAsia" w:ascii="黑体" w:hAnsi="黑体" w:eastAsia="黑体" w:cs="黑体"/>
          <w:b/>
          <w:color w:val="000000" w:themeColor="text1"/>
          <w:sz w:val="24"/>
          <w:szCs w:val="24"/>
          <w:highlight w:val="none"/>
          <w14:textFill>
            <w14:solidFill>
              <w14:schemeClr w14:val="tx1"/>
            </w14:solidFill>
          </w14:textFill>
        </w:rPr>
        <w:t>及</w:t>
      </w:r>
      <w:r>
        <w:rPr>
          <w:rFonts w:hint="eastAsia" w:ascii="黑体" w:hAnsi="黑体" w:eastAsia="黑体" w:cs="黑体"/>
          <w:b/>
          <w:color w:val="000000" w:themeColor="text1"/>
          <w:sz w:val="24"/>
          <w:szCs w:val="24"/>
          <w:highlight w:val="none"/>
          <w:lang w:val="en-US" w:eastAsia="zh-CN"/>
          <w14:textFill>
            <w14:solidFill>
              <w14:schemeClr w14:val="tx1"/>
            </w14:solidFill>
          </w14:textFill>
        </w:rPr>
        <w:t>合同争议的解决</w:t>
      </w:r>
      <w:bookmarkEnd w:id="12"/>
      <w:bookmarkEnd w:id="13"/>
      <w:bookmarkEnd w:id="14"/>
    </w:p>
    <w:p w14:paraId="72CEF96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乙方向甲方提交项目实施过程中的所有资料</w:t>
      </w:r>
      <w:r>
        <w:rPr>
          <w:rFonts w:hint="eastAsia" w:ascii="黑体" w:hAnsi="黑体" w:eastAsia="黑体" w:cs="黑体"/>
          <w:color w:val="000000" w:themeColor="text1"/>
          <w:sz w:val="22"/>
          <w:szCs w:val="22"/>
          <w:highlight w:val="none"/>
          <w14:textFill>
            <w14:solidFill>
              <w14:schemeClr w14:val="tx1"/>
            </w14:solidFill>
          </w14:textFill>
        </w:rPr>
        <w:t>。</w:t>
      </w:r>
    </w:p>
    <w:p w14:paraId="037D524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验收须以合同、谈判文件及响应文件、澄清及国家相应的标准、规范等为依据</w:t>
      </w:r>
      <w:r>
        <w:rPr>
          <w:rFonts w:hint="eastAsia" w:ascii="黑体" w:hAnsi="黑体" w:eastAsia="黑体" w:cs="黑体"/>
          <w:color w:val="000000" w:themeColor="text1"/>
          <w:sz w:val="22"/>
          <w:szCs w:val="22"/>
          <w:highlight w:val="none"/>
          <w14:textFill>
            <w14:solidFill>
              <w14:schemeClr w14:val="tx1"/>
            </w14:solidFill>
          </w14:textFill>
        </w:rPr>
        <w:t>。</w:t>
      </w:r>
    </w:p>
    <w:p w14:paraId="3CFAE02A">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b w:val="0"/>
          <w:bCs/>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符合中华人民共和国国家和履约地相关安全质量标准、行业技术规范标准、环保节能标准；</w:t>
      </w:r>
    </w:p>
    <w:p w14:paraId="608388F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b w:val="0"/>
          <w:bCs/>
          <w:color w:val="000000" w:themeColor="text1"/>
          <w:sz w:val="22"/>
          <w:szCs w:val="22"/>
          <w:lang w:val="en-US" w:eastAsia="zh-CN"/>
          <w14:textFill>
            <w14:solidFill>
              <w14:schemeClr w14:val="tx1"/>
            </w14:solidFill>
          </w14:textFill>
        </w:rPr>
      </w:pPr>
      <w:r>
        <w:rPr>
          <w:rFonts w:hint="eastAsia" w:ascii="黑体" w:hAnsi="黑体" w:eastAsia="黑体" w:cs="黑体"/>
          <w:b w:val="0"/>
          <w:bCs/>
          <w:color w:val="000000" w:themeColor="text1"/>
          <w:sz w:val="22"/>
          <w:szCs w:val="22"/>
          <w:lang w:val="en-US" w:eastAsia="zh-CN"/>
          <w14:textFill>
            <w14:solidFill>
              <w14:schemeClr w14:val="tx1"/>
            </w14:solidFill>
          </w14:textFill>
        </w:rPr>
        <w:t>（2）符合谈判文件和响应文件承诺中采购人认可的合理最佳配置、参数规格及各项要求；</w:t>
      </w:r>
    </w:p>
    <w:p w14:paraId="353B4DA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eastAsia="zh-CN"/>
          <w14:textFill>
            <w14:solidFill>
              <w14:schemeClr w14:val="tx1"/>
            </w14:solidFill>
          </w14:textFill>
        </w:rPr>
      </w:pPr>
      <w:r>
        <w:rPr>
          <w:rFonts w:hint="eastAsia" w:ascii="黑体" w:hAnsi="黑体" w:eastAsia="黑体" w:cs="黑体"/>
          <w:b w:val="0"/>
          <w:bCs/>
          <w:color w:val="000000" w:themeColor="text1"/>
          <w:sz w:val="22"/>
          <w:szCs w:val="22"/>
          <w:lang w:val="en-US" w:eastAsia="zh-CN"/>
          <w14:textFill>
            <w14:solidFill>
              <w14:schemeClr w14:val="tx1"/>
            </w14:solidFill>
          </w14:textFill>
        </w:rPr>
        <w:t>（3）双方约定的其他验收标准。</w:t>
      </w:r>
    </w:p>
    <w:p w14:paraId="01ED764E">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begin"/>
      </w:r>
      <w:r>
        <w:rPr>
          <w:rFonts w:hint="eastAsia" w:ascii="黑体" w:hAnsi="黑体" w:eastAsia="黑体" w:cs="黑体"/>
          <w:color w:val="000000" w:themeColor="text1"/>
          <w:sz w:val="22"/>
          <w:szCs w:val="22"/>
          <w:highlight w:val="none"/>
          <w:lang w:val="en-US" w:eastAsia="zh-CN"/>
          <w14:textFill>
            <w14:solidFill>
              <w14:schemeClr w14:val="tx1"/>
            </w14:solidFill>
          </w14:textFill>
        </w:rPr>
        <w:instrText xml:space="preserve"> = 1 \* GB3 \* MERGEFORMAT </w:instrText>
      </w: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①</w:t>
      </w: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甲方应在交货之日起3日内进行验收，验收完毕无误即验收合格，甲乙双方应当在“交接清单”上签章确认。如果甲方逾期未进行验收，视为验收合格。</w:t>
      </w:r>
    </w:p>
    <w:p w14:paraId="566139A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2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②</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甲方根据乙方的“交接清单”对产品设备的品种、型号、数量、规格、外观质量、配件等一系列进行验收确认。</w:t>
      </w:r>
    </w:p>
    <w:p w14:paraId="2768A10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3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③</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验收标准：按原厂质量标准。</w:t>
      </w:r>
    </w:p>
    <w:p w14:paraId="1CAAF6F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4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④</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乙方负责</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的安装、调试。</w:t>
      </w:r>
    </w:p>
    <w:p w14:paraId="47C3703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5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⑤</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若发现</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不全、损坏或不符合同约定，验收时间相应推迟，直至乙方补足、更换合格，由此产生的费用由乙方承担。</w:t>
      </w:r>
    </w:p>
    <w:p w14:paraId="58A41EB6">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6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⑥</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如有异议，甲方可在验收合格之日起7个工作日之内以书面形式向乙方提出。未在规定的期限内提出异议，视为乙方所交</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符合合同约定。</w:t>
      </w:r>
    </w:p>
    <w:p w14:paraId="5D5FC0C4">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7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⑦</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甲方在验收合格后对</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负有保管责任，因甲方使用、保管、保养不当或不善等造成</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 xml:space="preserve">质量下降和损坏的，由甲方承担相应后果。 </w:t>
      </w:r>
    </w:p>
    <w:p w14:paraId="65BF293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8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⑧</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乙方在接到甲方书面异议后，应在2个工作日内给予书面回复并着手处理。</w:t>
      </w:r>
    </w:p>
    <w:p w14:paraId="0E956233">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15" w:name="_Toc4985"/>
      <w:bookmarkStart w:id="16" w:name="_Toc7100"/>
      <w:bookmarkStart w:id="17" w:name="_Toc6404"/>
      <w:r>
        <w:rPr>
          <w:rFonts w:hint="eastAsia" w:ascii="黑体" w:hAnsi="黑体" w:eastAsia="黑体" w:cs="黑体"/>
          <w:b/>
          <w:color w:val="000000" w:themeColor="text1"/>
          <w:sz w:val="24"/>
          <w:szCs w:val="24"/>
          <w:highlight w:val="none"/>
          <w14:textFill>
            <w14:solidFill>
              <w14:schemeClr w14:val="tx1"/>
            </w14:solidFill>
          </w14:textFill>
        </w:rPr>
        <w:t>六、随机备品、配件工具数量及供应方法</w:t>
      </w:r>
      <w:bookmarkEnd w:id="15"/>
      <w:bookmarkEnd w:id="16"/>
      <w:bookmarkEnd w:id="17"/>
    </w:p>
    <w:p w14:paraId="64015BA9">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按乙方“交接清单”提供，随货发运。</w:t>
      </w:r>
    </w:p>
    <w:p w14:paraId="4E3407B1">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18" w:name="_Toc20613"/>
      <w:bookmarkStart w:id="19" w:name="_Toc18469"/>
      <w:bookmarkStart w:id="20" w:name="_Toc10603"/>
      <w:r>
        <w:rPr>
          <w:rFonts w:hint="eastAsia" w:ascii="黑体" w:hAnsi="黑体" w:eastAsia="黑体" w:cs="黑体"/>
          <w:b/>
          <w:color w:val="000000" w:themeColor="text1"/>
          <w:sz w:val="24"/>
          <w:szCs w:val="24"/>
          <w:highlight w:val="none"/>
          <w14:textFill>
            <w14:solidFill>
              <w14:schemeClr w14:val="tx1"/>
            </w14:solidFill>
          </w14:textFill>
        </w:rPr>
        <w:t>七、付款方式、期限及比例</w:t>
      </w:r>
      <w:bookmarkEnd w:id="18"/>
      <w:bookmarkEnd w:id="19"/>
      <w:bookmarkEnd w:id="20"/>
    </w:p>
    <w:p w14:paraId="3C1E1F50">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200"/>
        <w:textAlignment w:val="auto"/>
        <w:rPr>
          <w:rFonts w:hint="eastAsia" w:ascii="黑体" w:hAnsi="黑体" w:eastAsia="黑体" w:cs="黑体"/>
          <w:color w:val="000000" w:themeColor="text1"/>
          <w:sz w:val="21"/>
          <w:szCs w:val="21"/>
          <w:highlight w:val="none"/>
          <w14:textFill>
            <w14:solidFill>
              <w14:schemeClr w14:val="tx1"/>
            </w14:solidFill>
          </w14:textFill>
        </w:rPr>
      </w:pPr>
      <w:r>
        <w:rPr>
          <w:rFonts w:hint="eastAsia" w:ascii="黑体" w:hAnsi="黑体" w:eastAsia="黑体" w:cs="黑体"/>
          <w:color w:val="000000" w:themeColor="text1"/>
          <w:sz w:val="21"/>
          <w:szCs w:val="21"/>
          <w:highlight w:val="none"/>
          <w14:textFill>
            <w14:solidFill>
              <w14:schemeClr w14:val="tx1"/>
            </w14:solidFill>
          </w14:textFill>
        </w:rPr>
        <w:t>1</w:t>
      </w:r>
      <w:r>
        <w:rPr>
          <w:rFonts w:hint="eastAsia" w:ascii="黑体" w:hAnsi="黑体" w:eastAsia="黑体" w:cs="黑体"/>
          <w:color w:val="000000" w:themeColor="text1"/>
          <w:sz w:val="21"/>
          <w:szCs w:val="21"/>
          <w:highlight w:val="none"/>
          <w:lang w:eastAsia="zh-CN"/>
          <w14:textFill>
            <w14:solidFill>
              <w14:schemeClr w14:val="tx1"/>
            </w14:solidFill>
          </w14:textFill>
        </w:rPr>
        <w:t>.</w:t>
      </w:r>
      <w:r>
        <w:rPr>
          <w:rFonts w:hint="eastAsia" w:ascii="黑体" w:hAnsi="黑体" w:eastAsia="黑体" w:cs="黑体"/>
          <w:color w:val="000000" w:themeColor="text1"/>
          <w:sz w:val="21"/>
          <w:szCs w:val="21"/>
          <w:highlight w:val="none"/>
          <w14:textFill>
            <w14:solidFill>
              <w14:schemeClr w14:val="tx1"/>
            </w14:solidFill>
          </w14:textFill>
        </w:rPr>
        <w:t>甲乙双方约定通过(□银行转账/汇款   □承兑汇票   □银行汇票   □现金  □其他)方式支付货款。</w:t>
      </w:r>
    </w:p>
    <w:p w14:paraId="2850F13A">
      <w:pPr>
        <w:pStyle w:val="6"/>
        <w:keepLines w:val="0"/>
        <w:pageBreakBefore w:val="0"/>
        <w:shd w:val="clear" w:color="auto" w:fill="auto"/>
        <w:kinsoku/>
        <w:wordWrap/>
        <w:overflowPunct/>
        <w:topLinePunct w:val="0"/>
        <w:autoSpaceDE/>
        <w:autoSpaceDN/>
        <w:bidi w:val="0"/>
        <w:snapToGrid w:val="0"/>
        <w:spacing w:line="360" w:lineRule="auto"/>
        <w:ind w:left="0" w:leftChars="0" w:firstLine="367" w:firstLineChars="175"/>
        <w:textAlignment w:val="auto"/>
        <w:rPr>
          <w:rFonts w:hint="eastAsia" w:ascii="黑体" w:hAnsi="黑体" w:eastAsia="黑体" w:cs="黑体"/>
          <w:color w:val="000000" w:themeColor="text1"/>
          <w:sz w:val="21"/>
          <w:szCs w:val="21"/>
          <w:highlight w:val="none"/>
          <w:u w:val="single"/>
          <w:lang w:val="en-US" w:eastAsia="zh-CN"/>
          <w14:textFill>
            <w14:solidFill>
              <w14:schemeClr w14:val="tx1"/>
            </w14:solidFill>
          </w14:textFill>
        </w:rPr>
      </w:pPr>
      <w:r>
        <w:rPr>
          <w:rFonts w:hint="eastAsia" w:ascii="黑体" w:hAnsi="黑体" w:eastAsia="黑体" w:cs="黑体"/>
          <w:color w:val="000000" w:themeColor="text1"/>
          <w:sz w:val="21"/>
          <w:szCs w:val="21"/>
          <w:highlight w:val="none"/>
          <w14:textFill>
            <w14:solidFill>
              <w14:schemeClr w14:val="tx1"/>
            </w14:solidFill>
          </w14:textFill>
        </w:rPr>
        <w:t>2</w:t>
      </w:r>
      <w:r>
        <w:rPr>
          <w:rFonts w:hint="eastAsia" w:ascii="黑体" w:hAnsi="黑体" w:eastAsia="黑体" w:cs="黑体"/>
          <w:color w:val="000000" w:themeColor="text1"/>
          <w:sz w:val="21"/>
          <w:szCs w:val="21"/>
          <w:highlight w:val="none"/>
          <w:lang w:eastAsia="zh-CN"/>
          <w14:textFill>
            <w14:solidFill>
              <w14:schemeClr w14:val="tx1"/>
            </w14:solidFill>
          </w14:textFill>
        </w:rPr>
        <w:t>.</w:t>
      </w:r>
      <w:r>
        <w:rPr>
          <w:rFonts w:hint="eastAsia" w:ascii="黑体" w:hAnsi="黑体" w:eastAsia="黑体" w:cs="黑体"/>
          <w:color w:val="000000" w:themeColor="text1"/>
          <w:sz w:val="21"/>
          <w:szCs w:val="21"/>
          <w:highlight w:val="none"/>
          <w14:textFill>
            <w14:solidFill>
              <w14:schemeClr w14:val="tx1"/>
            </w14:solidFill>
          </w14:textFill>
        </w:rPr>
        <w:t>付款时间期限及付款比例：</w:t>
      </w:r>
      <w:r>
        <w:rPr>
          <w:rFonts w:hint="eastAsia" w:ascii="黑体" w:hAnsi="黑体" w:eastAsia="黑体" w:cs="黑体"/>
          <w:b w:val="0"/>
          <w:bCs/>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黑体" w:hAnsi="黑体" w:eastAsia="黑体" w:cs="黑体"/>
          <w:b w:val="0"/>
          <w:bCs w:val="0"/>
          <w:color w:val="000000" w:themeColor="text1"/>
          <w:sz w:val="21"/>
          <w:szCs w:val="21"/>
          <w:u w:val="single"/>
          <w:lang w:val="en-US" w:eastAsia="zh-CN"/>
          <w14:textFill>
            <w14:solidFill>
              <w14:schemeClr w14:val="tx1"/>
            </w14:solidFill>
          </w14:textFill>
        </w:rPr>
        <w:t>。</w:t>
      </w:r>
    </w:p>
    <w:p w14:paraId="0DF7A494">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1" w:name="_Toc7517"/>
      <w:bookmarkStart w:id="22" w:name="_Toc119"/>
      <w:bookmarkStart w:id="23" w:name="_Toc26811"/>
      <w:r>
        <w:rPr>
          <w:rFonts w:hint="eastAsia" w:ascii="黑体" w:hAnsi="黑体" w:eastAsia="黑体" w:cs="黑体"/>
          <w:b/>
          <w:color w:val="000000" w:themeColor="text1"/>
          <w:sz w:val="24"/>
          <w:szCs w:val="24"/>
          <w:highlight w:val="none"/>
          <w14:textFill>
            <w14:solidFill>
              <w14:schemeClr w14:val="tx1"/>
            </w14:solidFill>
          </w14:textFill>
        </w:rPr>
        <w:t>八、违约责任</w:t>
      </w:r>
      <w:bookmarkEnd w:id="21"/>
      <w:bookmarkEnd w:id="22"/>
      <w:bookmarkEnd w:id="23"/>
    </w:p>
    <w:p w14:paraId="0B599665">
      <w:pPr>
        <w:pStyle w:val="5"/>
        <w:keepNext w:val="0"/>
        <w:keepLines w:val="0"/>
        <w:pageBreakBefore w:val="0"/>
        <w:kinsoku/>
        <w:wordWrap/>
        <w:overflowPunct/>
        <w:topLinePunct w:val="0"/>
        <w:autoSpaceDE/>
        <w:autoSpaceDN/>
        <w:bidi w:val="0"/>
        <w:adjustRightInd w:val="0"/>
        <w:snapToGrid w:val="0"/>
        <w:spacing w:after="0" w:line="480" w:lineRule="exact"/>
        <w:ind w:firstLine="440" w:firstLineChars="200"/>
        <w:jc w:val="left"/>
        <w:textAlignment w:val="auto"/>
        <w:rPr>
          <w:rFonts w:hint="eastAsia" w:ascii="黑体" w:hAnsi="黑体" w:eastAsia="黑体" w:cs="黑体"/>
          <w:b w:val="0"/>
          <w:bCs/>
          <w:color w:val="000000" w:themeColor="text1"/>
          <w:kern w:val="0"/>
          <w:sz w:val="22"/>
          <w:szCs w:val="22"/>
          <w14:textFill>
            <w14:solidFill>
              <w14:schemeClr w14:val="tx1"/>
            </w14:solidFill>
          </w14:textFill>
        </w:rPr>
      </w:pPr>
      <w:r>
        <w:rPr>
          <w:rFonts w:hint="eastAsia" w:ascii="黑体" w:hAnsi="黑体" w:eastAsia="黑体" w:cs="黑体"/>
          <w:b w:val="0"/>
          <w:bCs/>
          <w:color w:val="000000" w:themeColor="text1"/>
          <w:sz w:val="22"/>
          <w:szCs w:val="22"/>
          <w:highlight w:val="none"/>
          <w14:textFill>
            <w14:solidFill>
              <w14:schemeClr w14:val="tx1"/>
            </w14:solidFill>
          </w14:textFill>
        </w:rPr>
        <w:t>1</w:t>
      </w:r>
      <w:r>
        <w:rPr>
          <w:rFonts w:hint="eastAsia" w:ascii="黑体" w:hAnsi="黑体" w:eastAsia="黑体" w:cs="黑体"/>
          <w:b w:val="0"/>
          <w:bCs/>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kern w:val="0"/>
          <w:sz w:val="22"/>
          <w:szCs w:val="22"/>
          <w14:textFill>
            <w14:solidFill>
              <w14:schemeClr w14:val="tx1"/>
            </w14:solidFill>
          </w14:textFill>
        </w:rPr>
        <w:t>依据《中华人民共和国民法典》《中华人民共和国政府采购法》的相关条款和本合同约定的相关条款执行。</w:t>
      </w:r>
    </w:p>
    <w:p w14:paraId="74130BE2">
      <w:pPr>
        <w:keepNext w:val="0"/>
        <w:keepLines w:val="0"/>
        <w:pageBreakBefore w:val="0"/>
        <w:widowControl/>
        <w:kinsoku/>
        <w:wordWrap/>
        <w:overflowPunct/>
        <w:topLinePunct w:val="0"/>
        <w:autoSpaceDE/>
        <w:autoSpaceDN/>
        <w:bidi w:val="0"/>
        <w:adjustRightInd/>
        <w:snapToGrid/>
        <w:spacing w:line="480" w:lineRule="exact"/>
        <w:ind w:firstLine="440" w:firstLineChars="200"/>
        <w:jc w:val="both"/>
        <w:textAlignment w:val="auto"/>
        <w:rPr>
          <w:rFonts w:hint="eastAsia" w:ascii="黑体" w:hAnsi="黑体" w:eastAsia="黑体" w:cs="黑体"/>
          <w:color w:val="000000" w:themeColor="text1"/>
          <w:sz w:val="21"/>
          <w:szCs w:val="21"/>
          <w:highlight w:val="none"/>
          <w14:textFill>
            <w14:solidFill>
              <w14:schemeClr w14:val="tx1"/>
            </w14:solidFill>
          </w14:textFill>
        </w:rPr>
      </w:pPr>
      <w:r>
        <w:rPr>
          <w:rFonts w:hint="eastAsia" w:ascii="黑体" w:hAnsi="黑体" w:eastAsia="黑体" w:cs="黑体"/>
          <w:b w:val="0"/>
          <w:bCs/>
          <w:color w:val="000000" w:themeColor="text1"/>
          <w:kern w:val="0"/>
          <w:sz w:val="22"/>
          <w:szCs w:val="22"/>
          <w:lang w:val="en-US" w:eastAsia="zh-CN"/>
          <w14:textFill>
            <w14:solidFill>
              <w14:schemeClr w14:val="tx1"/>
            </w14:solidFill>
          </w14:textFill>
        </w:rPr>
        <w:t>2.</w:t>
      </w:r>
      <w:r>
        <w:rPr>
          <w:rFonts w:hint="eastAsia" w:ascii="黑体" w:hAnsi="黑体" w:eastAsia="黑体" w:cs="黑体"/>
          <w:b w:val="0"/>
          <w:bCs/>
          <w:color w:val="000000" w:themeColor="text1"/>
          <w:kern w:val="0"/>
          <w:sz w:val="22"/>
          <w:szCs w:val="22"/>
          <w14:textFill>
            <w14:solidFill>
              <w14:schemeClr w14:val="tx1"/>
            </w14:solidFill>
          </w14:textFill>
        </w:rPr>
        <w:t>成交供应商未按合同要求履行，不符合采购技术要求，成交供应商必须无条件更换人员或设备，提高技术，完善质量，否则，采购人有权终止合同，并对成交供应商的违约行为进行追究并依法向成交供应商进行经济索赔。</w:t>
      </w:r>
    </w:p>
    <w:p w14:paraId="3C0C45A9">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4" w:name="_Toc22107"/>
      <w:bookmarkStart w:id="25" w:name="_Toc5447"/>
      <w:bookmarkStart w:id="26" w:name="_Toc13851"/>
      <w:r>
        <w:rPr>
          <w:rFonts w:hint="eastAsia" w:ascii="黑体" w:hAnsi="黑体" w:eastAsia="黑体" w:cs="黑体"/>
          <w:b/>
          <w:color w:val="000000" w:themeColor="text1"/>
          <w:sz w:val="24"/>
          <w:szCs w:val="24"/>
          <w:highlight w:val="none"/>
          <w14:textFill>
            <w14:solidFill>
              <w14:schemeClr w14:val="tx1"/>
            </w14:solidFill>
          </w14:textFill>
        </w:rPr>
        <w:t>九、特别事项</w:t>
      </w:r>
      <w:bookmarkEnd w:id="24"/>
      <w:bookmarkEnd w:id="25"/>
      <w:bookmarkEnd w:id="26"/>
    </w:p>
    <w:p w14:paraId="5EE52DB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乙方需指派专人负责售后维护事宜。</w:t>
      </w:r>
    </w:p>
    <w:p w14:paraId="477DCD8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甲方若对</w:t>
      </w:r>
      <w:r>
        <w:rPr>
          <w:rFonts w:hint="eastAsia" w:ascii="黑体" w:hAnsi="黑体" w:eastAsia="黑体" w:cs="黑体"/>
          <w:color w:val="000000" w:themeColor="text1"/>
          <w:sz w:val="22"/>
          <w:szCs w:val="22"/>
          <w:highlight w:val="none"/>
          <w:lang w:val="en-US" w:eastAsia="zh-CN"/>
          <w14:textFill>
            <w14:solidFill>
              <w14:schemeClr w14:val="tx1"/>
            </w14:solidFill>
          </w14:textFill>
        </w:rPr>
        <w:t>乙方</w:t>
      </w:r>
      <w:r>
        <w:rPr>
          <w:rFonts w:hint="eastAsia" w:ascii="黑体" w:hAnsi="黑体" w:eastAsia="黑体" w:cs="黑体"/>
          <w:color w:val="000000" w:themeColor="text1"/>
          <w:sz w:val="22"/>
          <w:szCs w:val="22"/>
          <w:highlight w:val="none"/>
          <w14:textFill>
            <w14:solidFill>
              <w14:schemeClr w14:val="tx1"/>
            </w14:solidFill>
          </w14:textFill>
        </w:rPr>
        <w:t>提出质量服务要求，所有涉及产品生产商的有关事项均由乙方负责。</w:t>
      </w:r>
    </w:p>
    <w:p w14:paraId="41696FC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甲方应根据本产品设备《产品使用说明书》规定的工况范围内作业，严禁一切超标、不合规</w:t>
      </w:r>
      <w:r>
        <w:rPr>
          <w:rFonts w:hint="eastAsia" w:ascii="黑体" w:hAnsi="黑体" w:eastAsia="黑体" w:cs="黑体"/>
          <w:color w:val="000000" w:themeColor="text1"/>
          <w:sz w:val="22"/>
          <w:szCs w:val="22"/>
          <w:highlight w:val="none"/>
          <w:lang w:eastAsia="zh-CN"/>
          <w14:textFill>
            <w14:solidFill>
              <w14:schemeClr w14:val="tx1"/>
            </w14:solidFill>
          </w14:textFill>
        </w:rPr>
        <w:t>地</w:t>
      </w:r>
      <w:r>
        <w:rPr>
          <w:rFonts w:hint="eastAsia" w:ascii="黑体" w:hAnsi="黑体" w:eastAsia="黑体" w:cs="黑体"/>
          <w:color w:val="000000" w:themeColor="text1"/>
          <w:sz w:val="22"/>
          <w:szCs w:val="22"/>
          <w:highlight w:val="none"/>
          <w14:textFill>
            <w14:solidFill>
              <w14:schemeClr w14:val="tx1"/>
            </w14:solidFill>
          </w14:textFill>
        </w:rPr>
        <w:t>运作。</w:t>
      </w:r>
    </w:p>
    <w:p w14:paraId="0E4D9B5F">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7" w:name="_Toc29190"/>
      <w:bookmarkStart w:id="28" w:name="_Toc5253"/>
      <w:bookmarkStart w:id="29" w:name="_Toc21346"/>
      <w:r>
        <w:rPr>
          <w:rFonts w:hint="eastAsia" w:ascii="黑体" w:hAnsi="黑体" w:eastAsia="黑体" w:cs="黑体"/>
          <w:b/>
          <w:color w:val="000000" w:themeColor="text1"/>
          <w:sz w:val="24"/>
          <w:szCs w:val="24"/>
          <w:highlight w:val="none"/>
          <w14:textFill>
            <w14:solidFill>
              <w14:schemeClr w14:val="tx1"/>
            </w14:solidFill>
          </w14:textFill>
        </w:rPr>
        <w:t>十、不可抗力风险承担</w:t>
      </w:r>
      <w:bookmarkEnd w:id="27"/>
      <w:bookmarkEnd w:id="28"/>
      <w:bookmarkEnd w:id="29"/>
    </w:p>
    <w:p w14:paraId="009F4199">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乙双方任何一方由于不可抗力的原因不能履行合同时，应及时书面通知对方不能履行或不能安全履行的理由，在取得有关主管机关证明以后，经双方协商一致后可延期履行、部分履行或者不履行合同，并根据情况可部分或全部</w:t>
      </w:r>
      <w:r>
        <w:rPr>
          <w:rFonts w:hint="eastAsia" w:ascii="黑体" w:hAnsi="黑体" w:eastAsia="黑体" w:cs="黑体"/>
          <w:color w:val="000000" w:themeColor="text1"/>
          <w:sz w:val="22"/>
          <w:szCs w:val="22"/>
          <w:highlight w:val="none"/>
          <w:lang w:eastAsia="zh-CN"/>
          <w14:textFill>
            <w14:solidFill>
              <w14:schemeClr w14:val="tx1"/>
            </w14:solidFill>
          </w14:textFill>
        </w:rPr>
        <w:t>免于</w:t>
      </w:r>
      <w:r>
        <w:rPr>
          <w:rFonts w:hint="eastAsia" w:ascii="黑体" w:hAnsi="黑体" w:eastAsia="黑体" w:cs="黑体"/>
          <w:color w:val="000000" w:themeColor="text1"/>
          <w:sz w:val="22"/>
          <w:szCs w:val="22"/>
          <w:highlight w:val="none"/>
          <w14:textFill>
            <w14:solidFill>
              <w14:schemeClr w14:val="tx1"/>
            </w14:solidFill>
          </w14:textFill>
        </w:rPr>
        <w:t>承担违约责任。</w:t>
      </w:r>
    </w:p>
    <w:p w14:paraId="177FC55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val="en-US" w:eastAsia="zh-CN"/>
          <w14:textFill>
            <w14:solidFill>
              <w14:schemeClr w14:val="tx1"/>
            </w14:solidFill>
          </w14:textFill>
        </w:rPr>
      </w:pPr>
      <w:bookmarkStart w:id="30" w:name="_Toc19650"/>
      <w:bookmarkStart w:id="31" w:name="_Toc11314"/>
      <w:bookmarkStart w:id="32" w:name="_Toc4227"/>
      <w:r>
        <w:rPr>
          <w:rFonts w:hint="eastAsia" w:ascii="黑体" w:hAnsi="黑体" w:eastAsia="黑体" w:cs="黑体"/>
          <w:b/>
          <w:color w:val="000000" w:themeColor="text1"/>
          <w:sz w:val="24"/>
          <w:szCs w:val="24"/>
          <w:highlight w:val="none"/>
          <w14:textFill>
            <w14:solidFill>
              <w14:schemeClr w14:val="tx1"/>
            </w14:solidFill>
          </w14:textFill>
        </w:rPr>
        <w:t>十一、合同</w:t>
      </w:r>
      <w:r>
        <w:rPr>
          <w:rFonts w:hint="eastAsia" w:ascii="黑体" w:hAnsi="黑体" w:eastAsia="黑体" w:cs="黑体"/>
          <w:b/>
          <w:color w:val="000000" w:themeColor="text1"/>
          <w:sz w:val="24"/>
          <w:szCs w:val="24"/>
          <w:highlight w:val="none"/>
          <w:lang w:val="en-US" w:eastAsia="zh-CN"/>
          <w14:textFill>
            <w14:solidFill>
              <w14:schemeClr w14:val="tx1"/>
            </w14:solidFill>
          </w14:textFill>
        </w:rPr>
        <w:t>争议的解决</w:t>
      </w:r>
      <w:bookmarkEnd w:id="30"/>
      <w:bookmarkEnd w:id="31"/>
      <w:bookmarkEnd w:id="32"/>
    </w:p>
    <w:p w14:paraId="47E10D5B">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合同履行期间，若双方发生争议，可协商或由有关部门调解解决，协商或调解不成的，可向甲方所在地汉台区人民法院提起诉讼。</w:t>
      </w:r>
    </w:p>
    <w:p w14:paraId="66EF2C83">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33" w:name="_Toc27312"/>
      <w:bookmarkStart w:id="34" w:name="_Toc28242"/>
      <w:bookmarkStart w:id="35" w:name="_Toc31136"/>
      <w:r>
        <w:rPr>
          <w:rFonts w:hint="eastAsia" w:ascii="黑体" w:hAnsi="黑体" w:eastAsia="黑体" w:cs="黑体"/>
          <w:b/>
          <w:color w:val="000000" w:themeColor="text1"/>
          <w:sz w:val="24"/>
          <w:szCs w:val="24"/>
          <w:highlight w:val="none"/>
          <w:lang w:val="en-US" w:eastAsia="zh-CN"/>
          <w14:textFill>
            <w14:solidFill>
              <w14:schemeClr w14:val="tx1"/>
            </w14:solidFill>
          </w14:textFill>
        </w:rPr>
        <w:t>十二、</w:t>
      </w:r>
      <w:r>
        <w:rPr>
          <w:rFonts w:hint="eastAsia" w:ascii="黑体" w:hAnsi="黑体" w:eastAsia="黑体" w:cs="黑体"/>
          <w:b/>
          <w:color w:val="000000" w:themeColor="text1"/>
          <w:sz w:val="24"/>
          <w:szCs w:val="24"/>
          <w:highlight w:val="none"/>
          <w14:textFill>
            <w14:solidFill>
              <w14:schemeClr w14:val="tx1"/>
            </w14:solidFill>
          </w14:textFill>
        </w:rPr>
        <w:t>其它</w:t>
      </w:r>
      <w:bookmarkEnd w:id="33"/>
      <w:bookmarkEnd w:id="34"/>
      <w:bookmarkEnd w:id="35"/>
    </w:p>
    <w:p w14:paraId="32B40E3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本合同在甲乙双方授权代表签字、单位盖章后生效。</w:t>
      </w:r>
    </w:p>
    <w:p w14:paraId="0C9B1DB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本合同未尽事宜，甲乙双方协商解决，合同变更及修改必须经双方同意，并以书面形式变更。所补充和变更的合同与本合同具有同等的法律效力。</w:t>
      </w:r>
    </w:p>
    <w:p w14:paraId="0A144FF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本合同壹式</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份，甲乙双方各执</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份。自签署之日起即生效。望双方共同遵守。</w:t>
      </w:r>
    </w:p>
    <w:p w14:paraId="00BD609D">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4.签署</w:t>
      </w:r>
    </w:p>
    <w:p w14:paraId="6E23A792">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p w14:paraId="5B5B54A3">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p w14:paraId="4F8E070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tbl>
      <w:tblPr>
        <w:tblStyle w:val="7"/>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881"/>
      </w:tblGrid>
      <w:tr w14:paraId="4367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4319" w:type="dxa"/>
            <w:vAlign w:val="center"/>
          </w:tcPr>
          <w:p w14:paraId="1AC53D58">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甲方</w:t>
            </w:r>
          </w:p>
        </w:tc>
        <w:tc>
          <w:tcPr>
            <w:tcW w:w="4881" w:type="dxa"/>
            <w:vAlign w:val="center"/>
          </w:tcPr>
          <w:p w14:paraId="3F33998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乙方</w:t>
            </w:r>
          </w:p>
        </w:tc>
      </w:tr>
      <w:tr w14:paraId="5214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exact"/>
          <w:jc w:val="center"/>
        </w:trPr>
        <w:tc>
          <w:tcPr>
            <w:tcW w:w="4319" w:type="dxa"/>
            <w:vAlign w:val="top"/>
          </w:tcPr>
          <w:p w14:paraId="07E60BF6">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单位全称（盖章）：          </w:t>
            </w:r>
          </w:p>
          <w:p w14:paraId="1743E8F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单位地址：</w:t>
            </w:r>
          </w:p>
          <w:p w14:paraId="2272631C">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法定代表人/委托代理人：</w:t>
            </w:r>
          </w:p>
          <w:p w14:paraId="6E825E1B">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组织机构代码：</w:t>
            </w:r>
          </w:p>
          <w:p w14:paraId="6087EC96">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电话：</w:t>
            </w:r>
          </w:p>
          <w:p w14:paraId="5FB8275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传真：</w:t>
            </w:r>
          </w:p>
          <w:p w14:paraId="372ECE9C">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开户银行：</w:t>
            </w:r>
          </w:p>
          <w:p w14:paraId="7DEDDD04">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账号：</w:t>
            </w:r>
          </w:p>
          <w:p w14:paraId="03008C5F">
            <w:pPr>
              <w:spacing w:before="120" w:beforeLines="50" w:line="360" w:lineRule="auto"/>
              <w:ind w:left="-718" w:leftChars="-342" w:firstLine="440" w:firstLineChars="200"/>
              <w:rPr>
                <w:rFonts w:hint="eastAsia" w:ascii="黑体" w:hAnsi="黑体" w:eastAsia="黑体" w:cs="黑体"/>
                <w:color w:val="000000" w:themeColor="text1"/>
                <w:sz w:val="22"/>
                <w:szCs w:val="22"/>
                <w:highlight w:val="none"/>
                <w14:textFill>
                  <w14:solidFill>
                    <w14:schemeClr w14:val="tx1"/>
                  </w14:solidFill>
                </w14:textFill>
              </w:rPr>
            </w:pPr>
          </w:p>
        </w:tc>
        <w:tc>
          <w:tcPr>
            <w:tcW w:w="4881" w:type="dxa"/>
            <w:vAlign w:val="top"/>
          </w:tcPr>
          <w:p w14:paraId="54631925">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单位全称（盖章）：</w:t>
            </w:r>
          </w:p>
          <w:p w14:paraId="5D06D1FF">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单位地址：</w:t>
            </w:r>
          </w:p>
          <w:p w14:paraId="35BFABCE">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法定代表人/委托代理人：</w:t>
            </w:r>
          </w:p>
          <w:p w14:paraId="5D9E9951">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组织机构代码：</w:t>
            </w:r>
          </w:p>
          <w:p w14:paraId="33F56BEE">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电话：</w:t>
            </w:r>
          </w:p>
          <w:p w14:paraId="04C861C4">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传真：</w:t>
            </w:r>
          </w:p>
          <w:p w14:paraId="3A1C2D07">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开户银行： </w:t>
            </w:r>
          </w:p>
          <w:p w14:paraId="013D29E2">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账号：</w:t>
            </w:r>
          </w:p>
          <w:p w14:paraId="24D5BB12">
            <w:pPr>
              <w:spacing w:before="120" w:beforeLines="50" w:line="360" w:lineRule="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 xml:space="preserve"> </w:t>
            </w:r>
          </w:p>
          <w:p w14:paraId="6BF41D88">
            <w:pPr>
              <w:spacing w:before="120" w:beforeLines="50" w:line="360" w:lineRule="auto"/>
              <w:ind w:left="-718" w:leftChars="-342" w:firstLine="440" w:firstLineChars="200"/>
              <w:rPr>
                <w:rFonts w:hint="eastAsia" w:ascii="黑体" w:hAnsi="黑体" w:eastAsia="黑体" w:cs="黑体"/>
                <w:color w:val="000000" w:themeColor="text1"/>
                <w:sz w:val="22"/>
                <w:szCs w:val="22"/>
                <w:highlight w:val="none"/>
                <w14:textFill>
                  <w14:solidFill>
                    <w14:schemeClr w14:val="tx1"/>
                  </w14:solidFill>
                </w14:textFill>
              </w:rPr>
            </w:pPr>
          </w:p>
        </w:tc>
      </w:tr>
    </w:tbl>
    <w:p w14:paraId="17FC50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248DD"/>
    <w:rsid w:val="05171224"/>
    <w:rsid w:val="05704DD8"/>
    <w:rsid w:val="0CEF0CD8"/>
    <w:rsid w:val="0D8B0A01"/>
    <w:rsid w:val="10D10E21"/>
    <w:rsid w:val="156F266A"/>
    <w:rsid w:val="16E66CA8"/>
    <w:rsid w:val="17A50911"/>
    <w:rsid w:val="17EA27C8"/>
    <w:rsid w:val="18730A0F"/>
    <w:rsid w:val="19F8741E"/>
    <w:rsid w:val="1D70551D"/>
    <w:rsid w:val="1DA376A1"/>
    <w:rsid w:val="1F244811"/>
    <w:rsid w:val="1F3D58D3"/>
    <w:rsid w:val="201B3E66"/>
    <w:rsid w:val="208E4638"/>
    <w:rsid w:val="20CE0ED9"/>
    <w:rsid w:val="215A09BE"/>
    <w:rsid w:val="251A293E"/>
    <w:rsid w:val="26176E7E"/>
    <w:rsid w:val="2D79041E"/>
    <w:rsid w:val="357A11D7"/>
    <w:rsid w:val="36A007CA"/>
    <w:rsid w:val="382471D8"/>
    <w:rsid w:val="3CFC5061"/>
    <w:rsid w:val="48E56510"/>
    <w:rsid w:val="4A2F3EE7"/>
    <w:rsid w:val="50B05655"/>
    <w:rsid w:val="510A120A"/>
    <w:rsid w:val="53FF492A"/>
    <w:rsid w:val="5AB83A84"/>
    <w:rsid w:val="60830691"/>
    <w:rsid w:val="61BD7BD2"/>
    <w:rsid w:val="693C3AD3"/>
    <w:rsid w:val="6A8D0A8A"/>
    <w:rsid w:val="6C8B2DA7"/>
    <w:rsid w:val="6D2154B9"/>
    <w:rsid w:val="71F14F67"/>
    <w:rsid w:val="720C498A"/>
    <w:rsid w:val="726E11A1"/>
    <w:rsid w:val="779571D0"/>
    <w:rsid w:val="7A49604F"/>
    <w:rsid w:val="7BF344C5"/>
    <w:rsid w:val="7C5E5DE2"/>
    <w:rsid w:val="7CE309DD"/>
    <w:rsid w:val="7DF10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w:basedOn w:val="3"/>
    <w:next w:val="6"/>
    <w:qFormat/>
    <w:uiPriority w:val="0"/>
    <w:pPr>
      <w:spacing w:after="120"/>
      <w:ind w:firstLine="420" w:firstLineChars="100"/>
    </w:pPr>
    <w:rPr>
      <w:color w:val="auto"/>
      <w:sz w:val="18"/>
      <w:szCs w:val="18"/>
    </w:rPr>
  </w:style>
  <w:style w:type="paragraph" w:styleId="6">
    <w:name w:val="Body Text First Indent 2"/>
    <w:basedOn w:val="4"/>
    <w:next w:val="1"/>
    <w:qFormat/>
    <w:uiPriority w:val="0"/>
    <w:pPr>
      <w:spacing w:line="240" w:lineRule="auto"/>
      <w:ind w:left="420" w:leftChars="200" w:firstLine="420" w:firstLineChars="200"/>
    </w:pPr>
    <w:rPr>
      <w:rFonts w:ascii="Times New Roman"/>
      <w:sz w:val="21"/>
      <w:szCs w:val="24"/>
    </w:rPr>
  </w:style>
  <w:style w:type="paragraph" w:customStyle="1" w:styleId="9">
    <w:name w:val="样式 首行缩进:  2 字符"/>
    <w:qFormat/>
    <w:uiPriority w:val="99"/>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2025-10-16T08:00:16Z</dcterms:created>
  <dc:creator>lenovo</dc:creator>
  <cp:lastModifiedBy>XXIA</cp:lastModifiedBy>
  <dcterms:modified xsi:type="dcterms:W3CDTF">2025-10-16T08:14:19Z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9285EA89F230410787C2F688E166712D_12</vt:lpwstr>
  </property>
</Properties>
</file>