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版本号：BYTC2025CG06320260115001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西乡县城市更新专项规划(2026-2030年)编制服务采购项目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BYTC2025CG063</w:t>
      </w:r>
      <w:r>
        <w:br/>
      </w:r>
      <w:r>
        <w:br/>
      </w:r>
      <w:r>
        <w:br/>
      </w:r>
    </w:p>
    <w:p>
      <w:pPr>
        <w:pStyle w:val="null3"/>
        <w:jc w:val="center"/>
        <w:outlineLvl w:val="2"/>
      </w:pPr>
      <w:r>
        <w:rPr>
          <w:rFonts w:ascii="仿宋_GB2312" w:hAnsi="仿宋_GB2312" w:cs="仿宋_GB2312" w:eastAsia="仿宋_GB2312"/>
          <w:sz w:val="28"/>
          <w:b/>
        </w:rPr>
        <w:t>西乡县住房和城乡建设管理局</w:t>
      </w:r>
    </w:p>
    <w:p>
      <w:pPr>
        <w:pStyle w:val="null3"/>
        <w:jc w:val="center"/>
        <w:outlineLvl w:val="2"/>
      </w:pPr>
      <w:r>
        <w:rPr>
          <w:rFonts w:ascii="仿宋_GB2312" w:hAnsi="仿宋_GB2312" w:cs="仿宋_GB2312" w:eastAsia="仿宋_GB2312"/>
          <w:sz w:val="28"/>
          <w:b/>
        </w:rPr>
        <w:t>陕西博宇天诚项目管理有限公司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陕西博宇天诚项目管理有限公司</w:t>
      </w:r>
      <w:r>
        <w:rPr>
          <w:rFonts w:ascii="仿宋_GB2312" w:hAnsi="仿宋_GB2312" w:cs="仿宋_GB2312" w:eastAsia="仿宋_GB2312"/>
        </w:rPr>
        <w:t>（以下简称“代理机构”）受</w:t>
      </w:r>
      <w:r>
        <w:rPr>
          <w:rFonts w:ascii="仿宋_GB2312" w:hAnsi="仿宋_GB2312" w:cs="仿宋_GB2312" w:eastAsia="仿宋_GB2312"/>
        </w:rPr>
        <w:t>西乡县住房和城乡建设管理局</w:t>
      </w:r>
      <w:r>
        <w:rPr>
          <w:rFonts w:ascii="仿宋_GB2312" w:hAnsi="仿宋_GB2312" w:cs="仿宋_GB2312" w:eastAsia="仿宋_GB2312"/>
        </w:rPr>
        <w:t>委托，拟对</w:t>
      </w:r>
      <w:r>
        <w:rPr>
          <w:rFonts w:ascii="仿宋_GB2312" w:hAnsi="仿宋_GB2312" w:cs="仿宋_GB2312" w:eastAsia="仿宋_GB2312"/>
        </w:rPr>
        <w:t>西乡县城市更新专项规划(2026-2030年)编制服务采购项目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BYTC2025CG063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西乡县城市更新专项规划(2026-2030年)编制服务采购项目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明确五年总体目标和年度目标，衔接城市中长期发展战略,确定八大类更新重点，包括既有建筑改造、老旧小区整治、完整社区建设、老旧街区/厂区/城中村改造、城市功能完善、基础设施改造、生态修复及历史文化保护。建立项目清单，明确项目名称、范围、内容、规模、资金和实施时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采购包1（西乡县城市更新专项规划(2026-2030年)编制服务采购项目）：属于专门面向中小企业采购。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2、供应商资格承诺函：提供“汉中市政府采购供应商资格承诺函”；</w:t>
      </w:r>
    </w:p>
    <w:p>
      <w:pPr>
        <w:pStyle w:val="null3"/>
      </w:pPr>
      <w:r>
        <w:rPr>
          <w:rFonts w:ascii="仿宋_GB2312" w:hAnsi="仿宋_GB2312" w:cs="仿宋_GB2312" w:eastAsia="仿宋_GB2312"/>
        </w:rPr>
        <w:t>3、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4、供应商资质：供应商须具有城乡规划编制乙级（含乙级）及以上资质等级；</w:t>
      </w:r>
    </w:p>
    <w:p>
      <w:pPr>
        <w:pStyle w:val="null3"/>
      </w:pPr>
      <w:r>
        <w:rPr>
          <w:rFonts w:ascii="仿宋_GB2312" w:hAnsi="仿宋_GB2312" w:cs="仿宋_GB2312" w:eastAsia="仿宋_GB2312"/>
        </w:rPr>
        <w:t>5、拟派项目负责人资格：拟派项目负责人须满足以下条件之一：（1）持有注册城乡规划师执业资格证书；（2）具备城乡规划或土地规划管理相关专业中级及以上技术职称。</w:t>
      </w:r>
    </w:p>
    <w:p>
      <w:pPr>
        <w:pStyle w:val="null3"/>
      </w:pPr>
      <w:r>
        <w:rPr>
          <w:rFonts w:ascii="仿宋_GB2312" w:hAnsi="仿宋_GB2312" w:cs="仿宋_GB2312" w:eastAsia="仿宋_GB2312"/>
        </w:rPr>
        <w:t>6、执行政府采购促进中小企业发展的相关政策：本项目为专门面向中小企业采购；注： （1）不同性质的法人或其他组织或自然人可按照国家法律规定提供合法资质,特殊行业投标人的分支机构投标，其财务状况、税收缴纳、社会保障资金缴纳等由主管单位或总公司代缴（代管）的，需提供相应情况说明。 （2）投标单位负责人为同一人或者存在直接控股、管理关系的不同供应商，不得同时参加本项目政府采购活动，否则按废标处理。 （3）投标单位要充分考虑知识产权问题，应保证采购单位免除且承担由于投标单位在其本国使用该项目所需的材料和设计或其任何一部分时而引起第三方提出的侵犯专利权、商标权或工业设计权的起诉、行动、行政程序索赔、请求等，以及采购单位为此而产生的损失和损害、费用和支出（包括律师费）。 （4）根据《关于在政府采购活动中查询及使用信用记录有关问题的通知》(财库[2016]125号)的规定，对列入失信被执行人、重大税收违法案件当事人名单、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陕西省西乡县金牛路31号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0916-3197035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陕西博宇天诚项目管理有限公司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陕西省汉中市汉台区陕西省汉中市汉台区汉中路街道办事处荔枝路智诚雅居2楼1号写字间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开户名称：陕西博宇天诚项目管理有限公司</w:t>
            </w:r>
          </w:p>
          <w:p>
            <w:pPr>
              <w:pStyle w:val="null3"/>
            </w:pPr>
            <w:r>
              <w:rPr>
                <w:rFonts w:ascii="仿宋_GB2312" w:hAnsi="仿宋_GB2312" w:cs="仿宋_GB2312" w:eastAsia="仿宋_GB2312"/>
              </w:rPr>
              <w:t>开户银行：长安银行股份有限公司汉中兴元路支行</w:t>
            </w:r>
          </w:p>
          <w:p>
            <w:pPr>
              <w:pStyle w:val="null3"/>
            </w:pPr>
            <w:r>
              <w:rPr>
                <w:rFonts w:ascii="仿宋_GB2312" w:hAnsi="仿宋_GB2312" w:cs="仿宋_GB2312" w:eastAsia="仿宋_GB2312"/>
              </w:rPr>
              <w:t>银行账号：806060601429999888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费参照国家计委关于印发《采购代理服务收费管理暂行办法的通知》(计价格[2002]1980号)及《国家发展改革委办公厅关于招标代理服务收费有关问题的通知》(发改办价格[2003]857号)规定的收费标准计取，最终收费金额按中标金额计算，招标代理费由成交供应商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西乡县住房和城乡建设管理局</w:t>
      </w:r>
      <w:r>
        <w:rPr>
          <w:rFonts w:ascii="仿宋_GB2312" w:hAnsi="仿宋_GB2312" w:cs="仿宋_GB2312" w:eastAsia="仿宋_GB2312"/>
        </w:rPr>
        <w:t>和</w:t>
      </w:r>
      <w:r>
        <w:rPr>
          <w:rFonts w:ascii="仿宋_GB2312" w:hAnsi="仿宋_GB2312" w:cs="仿宋_GB2312" w:eastAsia="仿宋_GB2312"/>
        </w:rPr>
        <w:t>陕西博宇天诚项目管理有限公司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西乡县住房和城乡建设管理局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陕西博宇天诚项目管理有限公司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陕西博宇天诚项目管理有限公司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满足采购文件及采购人实际工作要求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陕西博宇天诚项目管理有限公司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联系人：李飞</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地址：陕西省汉中市汉台区汉中路街道办事处荔枝路智诚雅居2楼1号写字间</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明确五年总体目标和年度目标，衔接城市中长期发展战略,确定八大类更新重点，包括既有建筑改造、老旧小区整治、完整社区建设、老旧街区/厂区/城中村改造、城市功能完善、基础设施改造、生态修复及历史文化保护。建立项目清单，明确项目名称、范围、内容、规模、资金和实施时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西乡县城市更新专项规划(2026-2030年)编制服务采购项目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标的名称：西乡县城市更新专项规划(2026-2030年)编制服务采购项目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明确五年总体目标和年度目标，衔接城市中长期发展战略,确定八大类更新重点，包括既有建筑改造、老旧小区整治、完整社区建设、老旧街区/厂区/城中村改造、城市功能完善、基础设施改造、生态修复及历史文化保护。建立项目清单，明确项目名称、范围、内容、规模、资金和实施时序。</w:t>
            </w:r>
          </w:p>
          <w:p>
            <w:pPr>
              <w:pStyle w:val="null3"/>
            </w:pPr>
            <w:r>
              <w:rPr>
                <w:rFonts w:ascii="仿宋_GB2312" w:hAnsi="仿宋_GB2312" w:cs="仿宋_GB2312" w:eastAsia="仿宋_GB2312"/>
              </w:rPr>
              <w:t>二、绩效目标：</w:t>
            </w:r>
          </w:p>
          <w:p>
            <w:pPr>
              <w:pStyle w:val="null3"/>
            </w:pPr>
            <w:r>
              <w:rPr>
                <w:rFonts w:ascii="仿宋_GB2312" w:hAnsi="仿宋_GB2312" w:cs="仿宋_GB2312" w:eastAsia="仿宋_GB2312"/>
              </w:rPr>
              <w:t>1、有效解决城市体检评估发现的重点短板和弱项；</w:t>
            </w:r>
            <w:r>
              <w:br/>
            </w:r>
            <w:r>
              <w:rPr>
                <w:rFonts w:ascii="仿宋_GB2312" w:hAnsi="仿宋_GB2312" w:cs="仿宋_GB2312" w:eastAsia="仿宋_GB2312"/>
              </w:rPr>
              <w:t xml:space="preserve"> 2、实现“好房子、好小区、好社区、好城区”的“四好”建设目标，显著提升城市宜居性、韧性、智慧化水平；</w:t>
            </w:r>
            <w:r>
              <w:br/>
            </w:r>
            <w:r>
              <w:rPr>
                <w:rFonts w:ascii="仿宋_GB2312" w:hAnsi="仿宋_GB2312" w:cs="仿宋_GB2312" w:eastAsia="仿宋_GB2312"/>
              </w:rPr>
              <w:t xml:space="preserve"> 3、 优化城市结构功能，激发城市活力，发挥城市更新在稳增长、扩内需、惠民生方面的重要作用。</w:t>
            </w:r>
          </w:p>
          <w:p>
            <w:pPr>
              <w:pStyle w:val="null3"/>
            </w:pPr>
            <w:r>
              <w:rPr>
                <w:rFonts w:ascii="仿宋_GB2312" w:hAnsi="仿宋_GB2312" w:cs="仿宋_GB2312" w:eastAsia="仿宋_GB2312"/>
              </w:rPr>
              <w:t>三、成果要求：</w:t>
            </w:r>
          </w:p>
          <w:p>
            <w:pPr>
              <w:pStyle w:val="null3"/>
            </w:pPr>
            <w:r>
              <w:rPr>
                <w:rFonts w:ascii="仿宋_GB2312" w:hAnsi="仿宋_GB2312" w:cs="仿宋_GB2312" w:eastAsia="仿宋_GB2312"/>
              </w:rPr>
              <w:t>1、全部成果（包括研究成果、图纸、调查数据及其处理结果）均应制作成计算机文件，文本文件采用Microsoft word的格式文件，图形采用jpg的格式文件，调查数据及处理结果采用Microsoft Excel的格式文件，提供以上计算机文件光盘一套。</w:t>
            </w:r>
          </w:p>
          <w:p>
            <w:pPr>
              <w:pStyle w:val="null3"/>
            </w:pPr>
            <w:r>
              <w:rPr>
                <w:rFonts w:ascii="仿宋_GB2312" w:hAnsi="仿宋_GB2312" w:cs="仿宋_GB2312" w:eastAsia="仿宋_GB2312"/>
              </w:rPr>
              <w:t>2、按照采购人要求提供成果印刷材料，材料份数以采购人要求为准。</w:t>
            </w:r>
          </w:p>
          <w:p>
            <w:pPr>
              <w:pStyle w:val="null3"/>
            </w:pPr>
            <w:r>
              <w:rPr>
                <w:rFonts w:ascii="仿宋_GB2312" w:hAnsi="仿宋_GB2312" w:cs="仿宋_GB2312" w:eastAsia="仿宋_GB2312"/>
              </w:rPr>
              <w:t>3、报告成果所使用的文字必须为简体中文。</w:t>
            </w:r>
          </w:p>
          <w:p>
            <w:pPr>
              <w:pStyle w:val="null3"/>
            </w:pPr>
            <w:r>
              <w:rPr>
                <w:rFonts w:ascii="仿宋_GB2312" w:hAnsi="仿宋_GB2312" w:cs="仿宋_GB2312" w:eastAsia="仿宋_GB2312"/>
              </w:rPr>
              <w:t>四、完成期</w:t>
            </w:r>
          </w:p>
          <w:p>
            <w:pPr>
              <w:pStyle w:val="null3"/>
            </w:pPr>
            <w:r>
              <w:rPr>
                <w:rFonts w:ascii="仿宋_GB2312" w:hAnsi="仿宋_GB2312" w:cs="仿宋_GB2312" w:eastAsia="仿宋_GB2312"/>
              </w:rPr>
              <w:t>1、完成期（天）：自合同签订之日起15日提交初步成果，并提供后续服务 。供应商在完成后续服务时，需无条件不限次数同意采购人提出的修改意见完善最终成果。最终成果版权归采购人所有，未经采购人同意供应商不得进行使用或传播。</w:t>
            </w:r>
          </w:p>
          <w:p>
            <w:pPr>
              <w:pStyle w:val="null3"/>
            </w:pPr>
            <w:r>
              <w:rPr>
                <w:rFonts w:ascii="仿宋_GB2312" w:hAnsi="仿宋_GB2312" w:cs="仿宋_GB2312" w:eastAsia="仿宋_GB2312"/>
              </w:rPr>
              <w:t>2、后续服务期：项目验收合格之日起1年。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拟派人员须满足项目履约需要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投入设施设备须满足项目履约需要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资料须满足国家及地区相关法律法规要求；（2）成果资料须通过采购人及相关主管部门的审核；（3）本项目投标报价包含完成本项目所需的全部内容，包括但不限于：成果资料、人员、保险、专家评审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成果资料满足国家及地区相关法律法规，成果资料通过相关部门审核。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最终成果通过相关部门审核</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 （二）按《民法典》中的相关条款进行商定并补充。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1、完成期（天）：自合同签订之日起15日提交初步成果，并提供后续服务 。供应商在完成后续服务时，需无条件不限次数同意采购人提出的修改意见完善最终成果。最终成果版权归采购人所有，未经采购人同意供应商不得进行使用或传播。 2、后续服务期：项目验收合格之日起1年。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供应商须具有城乡规划编制乙级（含乙级）及以上资质等级；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拟派项目负责人须满足以下条件之一：（1）持有注册城乡规划师执业资格证书；（2）具备城乡规划或土地规划管理相关专业中级及以上技术职称。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执行政府采购促进中小企业发展的相关政策</w:t>
            </w:r>
          </w:p>
        </w:tc>
        <w:tc>
          <w:tcPr>
            <w:tcW w:type="dxa" w:w="3322"/>
          </w:tcPr>
          <w:p>
            <w:pPr>
              <w:pStyle w:val="null3"/>
            </w:pPr>
            <w:r>
              <w:rPr>
                <w:rFonts w:ascii="仿宋_GB2312" w:hAnsi="仿宋_GB2312" w:cs="仿宋_GB2312" w:eastAsia="仿宋_GB2312"/>
              </w:rPr>
              <w:t>本项目为专门面向中小企业采购；注： （1）不同性质的法人或其他组织或自然人可按照国家法律规定提供合法资质,特殊行业投标人的分支机构投标，其财务状况、税收缴纳、社会保障资金缴纳等由主管单位或总公司代缴（代管）的，需提供相应情况说明。 （2）投标单位负责人为同一人或者存在直接控股、管理关系的不同供应商，不得同时参加本项目政府采购活动，否则按废标处理。 （3）投标单位要充分考虑知识产权问题，应保证采购单位免除且承担由于投标单位在其本国使用该项目所需的材料和设计或其任何一部分时而引起第三方提出的侵犯专利权、商标权或工业设计权的起诉、行动、行政程序索赔、请求等，以及采购单位为此而产生的损失和损害、费用和支出（包括律师费）。 （4）根据《关于在政府采购活动中查询及使用信用记录有关问题的通知》(财库[2016]125号)的规定，对列入失信被执行人、重大税收违法案件当事人名单、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投标文件有效期满足招标文件要求的为合格，无投标文件有效期或有效期达不到招标文件要求的为不合格；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商务要求满足采购文件要求为合格 ，商务要求不满足招标文件要求的为不合格。</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一、评审内容 针对本项目编制项目解读方案内容至少包括：①项目基本情况及相关政策解读；②规划背景和对地区空间发展现状认识；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详细评审1-项目解读.docx</w:t>
            </w:r>
          </w:p>
        </w:tc>
      </w:tr>
      <w:tr>
        <w:tc>
          <w:tcPr>
            <w:tcW w:type="dxa" w:w="831"/>
            <w:vMerge/>
          </w:tcPr>
          <w:p/>
        </w:tc>
        <w:tc>
          <w:tcPr>
            <w:tcW w:type="dxa" w:w="1661"/>
          </w:tcPr>
          <w:p>
            <w:pPr>
              <w:pStyle w:val="null3"/>
            </w:pPr>
            <w:r>
              <w:rPr>
                <w:rFonts w:ascii="仿宋_GB2312" w:hAnsi="仿宋_GB2312" w:cs="仿宋_GB2312" w:eastAsia="仿宋_GB2312"/>
              </w:rPr>
              <w:t>基本思路</w:t>
            </w:r>
          </w:p>
        </w:tc>
        <w:tc>
          <w:tcPr>
            <w:tcW w:type="dxa" w:w="2492"/>
          </w:tcPr>
          <w:p>
            <w:pPr>
              <w:pStyle w:val="null3"/>
            </w:pPr>
            <w:r>
              <w:rPr>
                <w:rFonts w:ascii="仿宋_GB2312" w:hAnsi="仿宋_GB2312" w:cs="仿宋_GB2312" w:eastAsia="仿宋_GB2312"/>
              </w:rPr>
              <w:t>一、评审内容 针对本项目编制基本思路方案内容至少包括：①项目的构思；②专业资料的搜集与内容梳理；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详细评审2-基本思路.docx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针对本项目编制基本思路方案内容至少包括：①质量管理制度②质量保证措施；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详细评审3-质量控制方案.docx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针对本项目编制基本思路方案内容至少包括：①进度保障措施②基础工作阶段、编制阶段、报审阶段的进度安排；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详细评审4-进度保障方案.docx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项目重点难点分析及后续服务安排</w:t>
            </w:r>
          </w:p>
        </w:tc>
        <w:tc>
          <w:tcPr>
            <w:tcW w:type="dxa" w:w="2492"/>
          </w:tcPr>
          <w:p>
            <w:pPr>
              <w:pStyle w:val="null3"/>
            </w:pPr>
            <w:r>
              <w:rPr>
                <w:rFonts w:ascii="仿宋_GB2312" w:hAnsi="仿宋_GB2312" w:cs="仿宋_GB2312" w:eastAsia="仿宋_GB2312"/>
              </w:rPr>
              <w:t>一、评审内容 针对本项目编制项目重点难点分析及后续服务安排内容至少包括：①文件编制过程中的重点难点问题分析②对成果文件的评审、修改、审批工作安排； 二、赋分标准 1、完整性：方案内容完整全面，对上述各项内容均有描述及说明，得5.0分；缺1项，得2.5分；缺2项，得0分。 2、针对性：针对性强，得5.0分；针对性一般，得3.0分；缺乏针对性，得1.0分；未按要求进行响应的，得0分。 3、可实施性：可实施性强，得5.0分；可实施性一般，得3.0分；缺乏可实施性，得1.0分；未按要求进行响应的，得0分。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详细评审5-项目重点难点分析及后续服务安排.docx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投标人提供2022年1月1日以来完成过同类或类似项目合同，每提供一份得2.0分，最高得4.0分； 注：投标文件中提供项目合同协议书（至少需包含合同内容、签字盖章等关键页）复印件并加盖单位公章；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详细评审6-业绩.docx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拟派项目负责人具有城乡规划或土地规划管理相关专业高级及以上工程师职称的，得2.0分；具有中级职称的，得1.0分； 评审依据：提供项目负责人身份证、职称证书等复印件加盖投标人公章。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详细评审7-拟派项目负责人.docx</w:t>
            </w:r>
          </w:p>
        </w:tc>
      </w:tr>
      <w:tr>
        <w:tc>
          <w:tcPr>
            <w:tcW w:type="dxa" w:w="831"/>
            <w:vMerge/>
          </w:tcPr>
          <w:p/>
        </w:tc>
        <w:tc>
          <w:tcPr>
            <w:tcW w:type="dxa" w:w="1661"/>
          </w:tcPr>
          <w:p>
            <w:pPr>
              <w:pStyle w:val="null3"/>
            </w:pPr>
            <w:r>
              <w:rPr>
                <w:rFonts w:ascii="仿宋_GB2312" w:hAnsi="仿宋_GB2312" w:cs="仿宋_GB2312" w:eastAsia="仿宋_GB2312"/>
              </w:rPr>
              <w:t>拟派技术人员保障情况</w:t>
            </w:r>
          </w:p>
        </w:tc>
        <w:tc>
          <w:tcPr>
            <w:tcW w:type="dxa" w:w="2492"/>
          </w:tcPr>
          <w:p>
            <w:pPr>
              <w:pStyle w:val="null3"/>
            </w:pPr>
            <w:r>
              <w:rPr>
                <w:rFonts w:ascii="仿宋_GB2312" w:hAnsi="仿宋_GB2312" w:cs="仿宋_GB2312" w:eastAsia="仿宋_GB2312"/>
              </w:rPr>
              <w:t>其他团队成员（项目负责人除外） （1）团队成员具有相关专业高级及以上工程师职称，每提供1人得1.0分，最高得2.0分； （2）团队成员具有相关专业中级职称，每提供1人得0.5分，高得3.0分； 评审依据：提供项目拟派人员身份证、职称证书等复印件加盖投标人公章。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详细评审8-拟派技术人员保障情况.docx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（1）承诺：最终成果资料须严格遵守国家及地方相关法律法规、技术标准和政策要求，确保规划成果符合法定审批条件并通过专家及相关部门的最终审核。承诺内容满足要求得2.0 分，无承诺不得分。 （2）承诺：对项目所涉及的基础数据、涉密资料严格保密，未经委托方书面同意，不得向任何第三方泄露，规划成果的知识产权归委托方所有，不得擅自转让或用于其他商业项目。承诺内容满足要求得2.0 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详细评审9-服务承诺.docx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第一步：投标总报价低于或等于财政预算价格的，为有效投标报价。超财政预算的投标报价为无效投标报价。无效投标报价的投标文件不进行评审，也不得中标。 第二步：价格分采用低价优先法计算，即满足招标文件要求且投标价格最低的投标报价为评标基准价，其价格分为满分。 其他投标单位的价格分统一按照下列公式计算： 投标报价得分=（评标基准价/投标报价）*10*100，小数点后保留两位，第三位四舍五入。 注：推荐确定中标候选供应商之前，评标小组认为，排在前面的候选供应商的最终报价或者某些分项报价明显不合理或者低于成本，有可能影响商品质量和不能诚信履约的，应当要求其在规定的期限内提供书面文件予以说明理由，并提交相关证明材料。否则，评标小组可以取消该供应商的候选资格，按顺序由排在其次的候选供应商递补，以此类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详见附件：详细评审1-项目解读.docx</w:t>
      </w:r>
    </w:p>
    <w:p>
      <w:pPr>
        <w:pStyle w:val="null3"/>
        <w:ind w:firstLine="960"/>
      </w:pPr>
      <w:r>
        <w:rPr>
          <w:rFonts w:ascii="仿宋_GB2312" w:hAnsi="仿宋_GB2312" w:cs="仿宋_GB2312" w:eastAsia="仿宋_GB2312"/>
        </w:rPr>
        <w:t>详见附件：详细评审2-基本思路.docx</w:t>
      </w:r>
    </w:p>
    <w:p>
      <w:pPr>
        <w:pStyle w:val="null3"/>
        <w:ind w:firstLine="960"/>
      </w:pPr>
      <w:r>
        <w:rPr>
          <w:rFonts w:ascii="仿宋_GB2312" w:hAnsi="仿宋_GB2312" w:cs="仿宋_GB2312" w:eastAsia="仿宋_GB2312"/>
        </w:rPr>
        <w:t>详见附件：详细评审3-质量控制方案.docx</w:t>
      </w:r>
    </w:p>
    <w:p>
      <w:pPr>
        <w:pStyle w:val="null3"/>
        <w:ind w:firstLine="960"/>
      </w:pPr>
      <w:r>
        <w:rPr>
          <w:rFonts w:ascii="仿宋_GB2312" w:hAnsi="仿宋_GB2312" w:cs="仿宋_GB2312" w:eastAsia="仿宋_GB2312"/>
        </w:rPr>
        <w:t>详见附件：详细评审4-进度保障方案.docx</w:t>
      </w:r>
    </w:p>
    <w:p>
      <w:pPr>
        <w:pStyle w:val="null3"/>
        <w:ind w:firstLine="960"/>
      </w:pPr>
      <w:r>
        <w:rPr>
          <w:rFonts w:ascii="仿宋_GB2312" w:hAnsi="仿宋_GB2312" w:cs="仿宋_GB2312" w:eastAsia="仿宋_GB2312"/>
        </w:rPr>
        <w:t>详见附件：详细评审5-项目重点难点分析及后续服务安排.docx</w:t>
      </w:r>
    </w:p>
    <w:p>
      <w:pPr>
        <w:pStyle w:val="null3"/>
        <w:ind w:firstLine="960"/>
      </w:pPr>
      <w:r>
        <w:rPr>
          <w:rFonts w:ascii="仿宋_GB2312" w:hAnsi="仿宋_GB2312" w:cs="仿宋_GB2312" w:eastAsia="仿宋_GB2312"/>
        </w:rPr>
        <w:t>详见附件：详细评审6-业绩.docx</w:t>
      </w:r>
    </w:p>
    <w:p>
      <w:pPr>
        <w:pStyle w:val="null3"/>
        <w:ind w:firstLine="960"/>
      </w:pPr>
      <w:r>
        <w:rPr>
          <w:rFonts w:ascii="仿宋_GB2312" w:hAnsi="仿宋_GB2312" w:cs="仿宋_GB2312" w:eastAsia="仿宋_GB2312"/>
        </w:rPr>
        <w:t>详见附件：详细评审7-拟派项目负责人.docx</w:t>
      </w:r>
    </w:p>
    <w:p>
      <w:pPr>
        <w:pStyle w:val="null3"/>
        <w:ind w:firstLine="960"/>
      </w:pPr>
      <w:r>
        <w:rPr>
          <w:rFonts w:ascii="仿宋_GB2312" w:hAnsi="仿宋_GB2312" w:cs="仿宋_GB2312" w:eastAsia="仿宋_GB2312"/>
        </w:rPr>
        <w:t>详见附件：详细评审8-拟派技术人员保障情况.docx</w:t>
      </w:r>
    </w:p>
    <w:p>
      <w:pPr>
        <w:pStyle w:val="null3"/>
        <w:ind w:firstLine="960"/>
      </w:pPr>
      <w:r>
        <w:rPr>
          <w:rFonts w:ascii="仿宋_GB2312" w:hAnsi="仿宋_GB2312" w:cs="仿宋_GB2312" w:eastAsia="仿宋_GB2312"/>
        </w:rPr>
        <w:t>详见附件：详细评审9-服务承诺.docx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