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版本号：HZ-J2026005C20260119001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西乡县茶园管理运输机械化项目及茶叶加工揉捻机自动加压及变频模块试验示范项目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HZ-J2026005C</w:t>
      </w:r>
      <w:r>
        <w:br/>
      </w:r>
      <w:r>
        <w:br/>
      </w:r>
      <w:r>
        <w:br/>
      </w:r>
    </w:p>
    <w:p>
      <w:pPr>
        <w:pStyle w:val="null3"/>
        <w:jc w:val="center"/>
        <w:outlineLvl w:val="2"/>
      </w:pPr>
      <w:r>
        <w:rPr>
          <w:rFonts w:ascii="仿宋_GB2312" w:hAnsi="仿宋_GB2312" w:cs="仿宋_GB2312" w:eastAsia="仿宋_GB2312"/>
          <w:sz w:val="28"/>
          <w:b/>
        </w:rPr>
        <w:t>西乡县茶产业发展中心</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西乡县茶产业发展中心</w:t>
      </w:r>
      <w:r>
        <w:rPr>
          <w:rFonts w:ascii="仿宋_GB2312" w:hAnsi="仿宋_GB2312" w:cs="仿宋_GB2312" w:eastAsia="仿宋_GB2312"/>
        </w:rPr>
        <w:t>委托，拟对</w:t>
      </w:r>
      <w:r>
        <w:rPr>
          <w:rFonts w:ascii="仿宋_GB2312" w:hAnsi="仿宋_GB2312" w:cs="仿宋_GB2312" w:eastAsia="仿宋_GB2312"/>
        </w:rPr>
        <w:t>西乡县茶园管理运输机械化项目及茶叶加工揉捻机自动加压及变频模块试验示范项目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HZ-J2026005C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西乡县茶园管理运输机械化项目及茶叶加工揉捻机自动加压及变频模块试验示范项目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乡县茶园地域地形复杂（多分布于山区），大部分属于山地茶园，机械化难度大，综合机械化作业水平不足，茶园管理与茶叶采摘劳动力成本过高，通过该技术，实现茶园管理全程机械化，解决茶园管理人工成本投入大的难题，通过茶园多功能单轨运输系统，完成茶园物资运送作业，提高工作效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投标人资格要求：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 注：若投标人未提供《汉中市政府采购供应商资格承诺函》，应当按照《中华人民共和国政府采购法》及其实施条例等相关法律法规规定，提供相应的证明材料：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3、投标人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西乡县茶产业发展中心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西乡县汉白路西段1号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刘仲贤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0916-6222310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说明：递交时间：领取中标通知书后，签订合同前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代理服务费收费标准：按照合同约定，代理服务费23000元(贰万叁仟元)。 户名：陕西汉正项目管理有限公司 开户行：中国建设银行股份有限公司西安科技二路支行 账号：61050110771000000926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西乡县茶产业发展中心</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西乡县茶产业发展中心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西乡县茶产业发展中心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依据政府采购相关条例、招标文件、投标文件、合同及对应国家、 行业现行技术标准，技术、商务验收全部达标即合格。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联系人：王佳丽</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乡县茶园地域地形复杂（多分布于山区），大部分属于山地茶园，机械化难度大，综合机械化作业水平不足，茶园管理与茶叶采摘劳动力成本过高，通过该技术，实现茶园管理全程机械化，解决茶园管理人工成本投入大的难题，通过茶园多功能单轨运输系统，完成茶园物资运送作业，提高工作效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一批农业机械设备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标的名称：一批农业机械设备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385"/>
              <w:gridCol w:w="1520"/>
              <w:gridCol w:w="329"/>
              <w:gridCol w:w="306"/>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标的</w:t>
                  </w:r>
                  <w:r>
                    <w:rPr>
                      <w:rFonts w:ascii="仿宋_GB2312" w:hAnsi="仿宋_GB2312" w:cs="仿宋_GB2312" w:eastAsia="仿宋_GB2312"/>
                      <w:sz w:val="18"/>
                    </w:rPr>
                    <w:t>名称</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主要技术参数</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r>
            <w:tr>
              <w:tc>
                <w:tcPr>
                  <w:tcW w:type="dxa" w:w="3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w:t>
                  </w:r>
                  <w:r>
                    <w:rPr>
                      <w:rFonts w:ascii="仿宋_GB2312" w:hAnsi="仿宋_GB2312" w:cs="仿宋_GB2312" w:eastAsia="仿宋_GB2312"/>
                      <w:sz w:val="18"/>
                    </w:rPr>
                    <w:t>轨道运输机</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成品轨道</w:t>
                  </w:r>
                  <w:r>
                    <w:rPr>
                      <w:rFonts w:ascii="仿宋_GB2312" w:hAnsi="仿宋_GB2312" w:cs="仿宋_GB2312" w:eastAsia="仿宋_GB2312"/>
                      <w:sz w:val="18"/>
                    </w:rPr>
                    <w:t>：</w:t>
                  </w:r>
                  <w:r>
                    <w:rPr>
                      <w:rFonts w:ascii="仿宋_GB2312" w:hAnsi="仿宋_GB2312" w:cs="仿宋_GB2312" w:eastAsia="仿宋_GB2312"/>
                      <w:sz w:val="18"/>
                    </w:rPr>
                    <w:t>每节</w:t>
                  </w:r>
                  <w:r>
                    <w:rPr>
                      <w:rFonts w:ascii="仿宋_GB2312" w:hAnsi="仿宋_GB2312" w:cs="仿宋_GB2312" w:eastAsia="仿宋_GB2312"/>
                      <w:sz w:val="18"/>
                    </w:rPr>
                    <w:t>轨道</w:t>
                  </w:r>
                  <w:r>
                    <w:rPr>
                      <w:rFonts w:ascii="仿宋_GB2312" w:hAnsi="仿宋_GB2312" w:cs="仿宋_GB2312" w:eastAsia="仿宋_GB2312"/>
                      <w:sz w:val="18"/>
                    </w:rPr>
                    <w:t>长</w:t>
                  </w:r>
                  <w:r>
                    <w:rPr>
                      <w:rFonts w:ascii="仿宋_GB2312" w:hAnsi="仿宋_GB2312" w:cs="仿宋_GB2312" w:eastAsia="仿宋_GB2312"/>
                      <w:sz w:val="18"/>
                    </w:rPr>
                    <w:t>3米，</w:t>
                  </w:r>
                  <w:r>
                    <w:rPr>
                      <w:rFonts w:ascii="仿宋_GB2312" w:hAnsi="仿宋_GB2312" w:cs="仿宋_GB2312" w:eastAsia="仿宋_GB2312"/>
                      <w:sz w:val="18"/>
                    </w:rPr>
                    <w:t>焊接实心</w:t>
                  </w:r>
                  <w:r>
                    <w:rPr>
                      <w:rFonts w:ascii="仿宋_GB2312" w:hAnsi="仿宋_GB2312" w:cs="仿宋_GB2312" w:eastAsia="仿宋_GB2312"/>
                      <w:sz w:val="18"/>
                    </w:rPr>
                    <w:t>齿条，整体热镀锌</w:t>
                  </w:r>
                  <w:r>
                    <w:rPr>
                      <w:rFonts w:ascii="仿宋_GB2312" w:hAnsi="仿宋_GB2312" w:cs="仿宋_GB2312" w:eastAsia="仿宋_GB2312"/>
                      <w:sz w:val="18"/>
                    </w:rPr>
                    <w:t>，</w:t>
                  </w:r>
                  <w:r>
                    <w:rPr>
                      <w:rFonts w:ascii="仿宋_GB2312" w:hAnsi="仿宋_GB2312" w:cs="仿宋_GB2312" w:eastAsia="仿宋_GB2312"/>
                      <w:sz w:val="18"/>
                    </w:rPr>
                    <w:t>每节支撑点</w:t>
                  </w:r>
                  <w:r>
                    <w:rPr>
                      <w:rFonts w:ascii="仿宋_GB2312" w:hAnsi="仿宋_GB2312" w:cs="仿宋_GB2312" w:eastAsia="仿宋_GB2312"/>
                      <w:sz w:val="18"/>
                    </w:rPr>
                    <w:t>3个，单轨双向，壁厚≥2.</w:t>
                  </w:r>
                  <w:r>
                    <w:rPr>
                      <w:rFonts w:ascii="仿宋_GB2312" w:hAnsi="仿宋_GB2312" w:cs="仿宋_GB2312" w:eastAsia="仿宋_GB2312"/>
                      <w:sz w:val="18"/>
                    </w:rPr>
                    <w:t>7</w:t>
                  </w:r>
                  <w:r>
                    <w:rPr>
                      <w:rFonts w:ascii="仿宋_GB2312" w:hAnsi="仿宋_GB2312" w:cs="仿宋_GB2312" w:eastAsia="仿宋_GB2312"/>
                      <w:sz w:val="18"/>
                    </w:rPr>
                    <w:t>毫米</w:t>
                  </w:r>
                  <w:r>
                    <w:rPr>
                      <w:rFonts w:ascii="仿宋_GB2312" w:hAnsi="仿宋_GB2312" w:cs="仿宋_GB2312" w:eastAsia="仿宋_GB2312"/>
                      <w:sz w:val="18"/>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r>
            <w:tr>
              <w:tc>
                <w:tcPr>
                  <w:tcW w:type="dxa" w:w="385"/>
                  <w:vMerge/>
                  <w:tcBorders>
                    <w:top w:val="none" w:color="000000" w:sz="4"/>
                    <w:left w:val="single" w:color="000000" w:sz="4"/>
                    <w:bottom w:val="single" w:color="000000" w:sz="4"/>
                    <w:right w:val="single" w:color="000000" w:sz="4"/>
                  </w:tcBorders>
                </w:tcP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山地单轨运输机机头</w:t>
                  </w:r>
                  <w:r>
                    <w:rPr>
                      <w:rFonts w:ascii="仿宋_GB2312" w:hAnsi="仿宋_GB2312" w:cs="仿宋_GB2312" w:eastAsia="仿宋_GB2312"/>
                      <w:sz w:val="18"/>
                    </w:rPr>
                    <w:t>：</w:t>
                  </w:r>
                  <w:r>
                    <w:rPr>
                      <w:rFonts w:ascii="仿宋_GB2312" w:hAnsi="仿宋_GB2312" w:cs="仿宋_GB2312" w:eastAsia="仿宋_GB2312"/>
                      <w:sz w:val="18"/>
                    </w:rPr>
                    <w:t>自走式汽油发动机，功率</w:t>
                  </w:r>
                  <w:r>
                    <w:rPr>
                      <w:rFonts w:ascii="仿宋_GB2312" w:hAnsi="仿宋_GB2312" w:cs="仿宋_GB2312" w:eastAsia="仿宋_GB2312"/>
                      <w:sz w:val="18"/>
                    </w:rPr>
                    <w:t>≥3.3KW，</w:t>
                  </w:r>
                  <w:r>
                    <w:rPr>
                      <w:rFonts w:ascii="仿宋_GB2312" w:hAnsi="仿宋_GB2312" w:cs="仿宋_GB2312" w:eastAsia="仿宋_GB2312"/>
                      <w:sz w:val="18"/>
                    </w:rPr>
                    <w:t>最大</w:t>
                  </w:r>
                  <w:r>
                    <w:rPr>
                      <w:rFonts w:ascii="仿宋_GB2312" w:hAnsi="仿宋_GB2312" w:cs="仿宋_GB2312" w:eastAsia="仿宋_GB2312"/>
                      <w:sz w:val="18"/>
                    </w:rPr>
                    <w:t>爬坡度：</w:t>
                  </w:r>
                  <w:r>
                    <w:rPr>
                      <w:rFonts w:ascii="仿宋_GB2312" w:hAnsi="仿宋_GB2312" w:cs="仿宋_GB2312" w:eastAsia="仿宋_GB2312"/>
                      <w:sz w:val="18"/>
                    </w:rPr>
                    <w:t>45度</w:t>
                  </w:r>
                  <w:r>
                    <w:rPr>
                      <w:rFonts w:ascii="仿宋_GB2312" w:hAnsi="仿宋_GB2312" w:cs="仿宋_GB2312" w:eastAsia="仿宋_GB2312"/>
                      <w:sz w:val="18"/>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385"/>
                  <w:vMerge/>
                  <w:tcBorders>
                    <w:top w:val="none" w:color="000000" w:sz="4"/>
                    <w:left w:val="single" w:color="000000" w:sz="4"/>
                    <w:bottom w:val="single" w:color="000000" w:sz="4"/>
                    <w:right w:val="single" w:color="000000" w:sz="4"/>
                  </w:tcBorders>
                </w:tcP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货箱</w:t>
                  </w:r>
                  <w:r>
                    <w:rPr>
                      <w:rFonts w:ascii="仿宋_GB2312" w:hAnsi="仿宋_GB2312" w:cs="仿宋_GB2312" w:eastAsia="仿宋_GB2312"/>
                      <w:sz w:val="18"/>
                    </w:rPr>
                    <w:t>：</w:t>
                  </w:r>
                  <w:r>
                    <w:rPr>
                      <w:rFonts w:ascii="仿宋_GB2312" w:hAnsi="仿宋_GB2312" w:cs="仿宋_GB2312" w:eastAsia="仿宋_GB2312"/>
                      <w:sz w:val="18"/>
                    </w:rPr>
                    <w:t>铁质热镀锌，长</w:t>
                  </w:r>
                  <w:r>
                    <w:rPr>
                      <w:rFonts w:ascii="仿宋_GB2312" w:hAnsi="仿宋_GB2312" w:cs="仿宋_GB2312" w:eastAsia="仿宋_GB2312"/>
                      <w:sz w:val="18"/>
                    </w:rPr>
                    <w:t>2米-2.5米，宽0.5-0.6米，高0.5米-1米，荷载≥200千克</w:t>
                  </w:r>
                  <w:r>
                    <w:rPr>
                      <w:rFonts w:ascii="仿宋_GB2312" w:hAnsi="仿宋_GB2312" w:cs="仿宋_GB2312" w:eastAsia="仿宋_GB2312"/>
                      <w:sz w:val="18"/>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385"/>
                  <w:vMerge/>
                  <w:tcBorders>
                    <w:top w:val="none" w:color="000000" w:sz="4"/>
                    <w:left w:val="single" w:color="000000" w:sz="4"/>
                    <w:bottom w:val="single" w:color="000000" w:sz="4"/>
                    <w:right w:val="single" w:color="000000" w:sz="4"/>
                  </w:tcBorders>
                </w:tcP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辅助材料及安装：</w:t>
                  </w:r>
                  <w:r>
                    <w:br/>
                  </w:r>
                  <w:r>
                    <w:rPr>
                      <w:rFonts w:ascii="仿宋_GB2312" w:hAnsi="仿宋_GB2312" w:cs="仿宋_GB2312" w:eastAsia="仿宋_GB2312"/>
                      <w:sz w:val="18"/>
                    </w:rPr>
                    <w:t>所用零部件材质为铁质热镀锌，使用螺栓加固处或连接处拧紧扭力矩为</w:t>
                  </w:r>
                  <w:r>
                    <w:rPr>
                      <w:rFonts w:ascii="仿宋_GB2312" w:hAnsi="仿宋_GB2312" w:cs="仿宋_GB2312" w:eastAsia="仿宋_GB2312"/>
                      <w:sz w:val="18"/>
                    </w:rPr>
                    <w:t>49N·m～65N·m，所有支撑点立管壁厚</w:t>
                  </w:r>
                  <w:r>
                    <w:rPr>
                      <w:rFonts w:ascii="仿宋_GB2312" w:hAnsi="仿宋_GB2312" w:cs="仿宋_GB2312" w:eastAsia="仿宋_GB2312"/>
                      <w:sz w:val="18"/>
                    </w:rPr>
                    <w:t>≥</w:t>
                  </w:r>
                  <w:r>
                    <w:rPr>
                      <w:rFonts w:ascii="仿宋_GB2312" w:hAnsi="仿宋_GB2312" w:cs="仿宋_GB2312" w:eastAsia="仿宋_GB2312"/>
                      <w:sz w:val="18"/>
                    </w:rPr>
                    <w:t>2.2mm</w:t>
                  </w:r>
                  <w:r>
                    <w:rPr>
                      <w:rFonts w:ascii="仿宋_GB2312" w:hAnsi="仿宋_GB2312" w:cs="仿宋_GB2312" w:eastAsia="仿宋_GB2312"/>
                      <w:sz w:val="18"/>
                    </w:rPr>
                    <w:t>直径</w:t>
                  </w:r>
                  <w:r>
                    <w:rPr>
                      <w:rFonts w:ascii="仿宋_GB2312" w:hAnsi="仿宋_GB2312" w:cs="仿宋_GB2312" w:eastAsia="仿宋_GB2312"/>
                      <w:sz w:val="18"/>
                    </w:rPr>
                    <w:t>≥</w:t>
                  </w:r>
                  <w:r>
                    <w:rPr>
                      <w:rFonts w:ascii="仿宋_GB2312" w:hAnsi="仿宋_GB2312" w:cs="仿宋_GB2312" w:eastAsia="仿宋_GB2312"/>
                      <w:sz w:val="18"/>
                    </w:rPr>
                    <w:t>32mm</w:t>
                  </w:r>
                  <w:r>
                    <w:rPr>
                      <w:rFonts w:ascii="仿宋_GB2312" w:hAnsi="仿宋_GB2312" w:cs="仿宋_GB2312" w:eastAsia="仿宋_GB2312"/>
                      <w:sz w:val="18"/>
                    </w:rPr>
                    <w:t>，</w:t>
                  </w:r>
                  <w:r>
                    <w:rPr>
                      <w:rFonts w:ascii="仿宋_GB2312" w:hAnsi="仿宋_GB2312" w:cs="仿宋_GB2312" w:eastAsia="仿宋_GB2312"/>
                      <w:sz w:val="18"/>
                    </w:rPr>
                    <w:t>下设防沉板，每个立管须用</w:t>
                  </w:r>
                  <w:r>
                    <w:rPr>
                      <w:rFonts w:ascii="仿宋_GB2312" w:hAnsi="仿宋_GB2312" w:cs="仿宋_GB2312" w:eastAsia="仿宋_GB2312"/>
                      <w:sz w:val="18"/>
                    </w:rPr>
                    <w:t>25mm斜支撑加固，立管下铺设厚度≥10cm，直径≥30cm的混凝土。所有辅助材料须满足设备正常安全运行。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周边环境监测设备</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1.智能控制柜：</w:t>
                  </w:r>
                </w:p>
                <w:p>
                  <w:pPr>
                    <w:pStyle w:val="null3"/>
                    <w:jc w:val="both"/>
                  </w:pPr>
                  <w:r>
                    <w:rPr>
                      <w:rFonts w:ascii="仿宋_GB2312" w:hAnsi="仿宋_GB2312" w:cs="仿宋_GB2312" w:eastAsia="仿宋_GB2312"/>
                      <w:sz w:val="18"/>
                    </w:rPr>
                    <w:t>集多参数数据采集、无线传输、云端存储与移动可视化于一体的智能监测系统。系统应能稳定采集空气温度、空气湿度、光照强度、土壤参数（如温湿度、</w:t>
                  </w:r>
                  <w:r>
                    <w:rPr>
                      <w:rFonts w:ascii="仿宋_GB2312" w:hAnsi="仿宋_GB2312" w:cs="仿宋_GB2312" w:eastAsia="仿宋_GB2312"/>
                      <w:sz w:val="18"/>
                    </w:rPr>
                    <w:t>EC值、PH值）及设备水平倾角等数据，并通过无线网络将数据实时、安全地传输至云端服务器进行持久化存储。同时，必须提供可通过主流移动端、PC端进行安全访问与数据可视化查看、便捷访问与管理；</w:t>
                  </w:r>
                </w:p>
                <w:p>
                  <w:pPr>
                    <w:pStyle w:val="null3"/>
                    <w:jc w:val="both"/>
                  </w:pPr>
                  <w:r>
                    <w:rPr>
                      <w:rFonts w:ascii="仿宋_GB2312" w:hAnsi="仿宋_GB2312" w:cs="仿宋_GB2312" w:eastAsia="仿宋_GB2312"/>
                      <w:sz w:val="18"/>
                    </w:rPr>
                    <w:t>2.茶园温湿度：</w:t>
                  </w:r>
                </w:p>
                <w:p>
                  <w:pPr>
                    <w:pStyle w:val="null3"/>
                    <w:jc w:val="both"/>
                  </w:pPr>
                  <w:r>
                    <w:rPr>
                      <w:rFonts w:ascii="仿宋_GB2312" w:hAnsi="仿宋_GB2312" w:cs="仿宋_GB2312" w:eastAsia="仿宋_GB2312"/>
                      <w:sz w:val="18"/>
                    </w:rPr>
                    <w:t>温度量程</w:t>
                  </w:r>
                  <w:r>
                    <w:rPr>
                      <w:rFonts w:ascii="仿宋_GB2312" w:hAnsi="仿宋_GB2312" w:cs="仿宋_GB2312" w:eastAsia="仿宋_GB2312"/>
                      <w:sz w:val="18"/>
                    </w:rPr>
                    <w:t>-20~60℃ ，精度≤±0.5℃</w:t>
                  </w:r>
                </w:p>
                <w:p>
                  <w:pPr>
                    <w:pStyle w:val="null3"/>
                    <w:jc w:val="both"/>
                  </w:pPr>
                  <w:r>
                    <w:rPr>
                      <w:rFonts w:ascii="仿宋_GB2312" w:hAnsi="仿宋_GB2312" w:cs="仿宋_GB2312" w:eastAsia="仿宋_GB2312"/>
                      <w:sz w:val="18"/>
                    </w:rPr>
                    <w:t>湿度量程</w:t>
                  </w:r>
                  <w:r>
                    <w:rPr>
                      <w:rFonts w:ascii="仿宋_GB2312" w:hAnsi="仿宋_GB2312" w:cs="仿宋_GB2312" w:eastAsia="仿宋_GB2312"/>
                      <w:sz w:val="18"/>
                    </w:rPr>
                    <w:t>0~100%RH，精度≤±5%RH</w:t>
                  </w:r>
                </w:p>
                <w:p>
                  <w:pPr>
                    <w:pStyle w:val="null3"/>
                    <w:jc w:val="both"/>
                  </w:pPr>
                  <w:r>
                    <w:rPr>
                      <w:rFonts w:ascii="仿宋_GB2312" w:hAnsi="仿宋_GB2312" w:cs="仿宋_GB2312" w:eastAsia="仿宋_GB2312"/>
                      <w:sz w:val="18"/>
                    </w:rPr>
                    <w:t>3.土壤温湿度：</w:t>
                  </w:r>
                </w:p>
                <w:p>
                  <w:pPr>
                    <w:pStyle w:val="null3"/>
                    <w:jc w:val="both"/>
                  </w:pPr>
                  <w:r>
                    <w:rPr>
                      <w:rFonts w:ascii="仿宋_GB2312" w:hAnsi="仿宋_GB2312" w:cs="仿宋_GB2312" w:eastAsia="仿宋_GB2312"/>
                      <w:sz w:val="18"/>
                    </w:rPr>
                    <w:t>土壤温度：量程</w:t>
                  </w:r>
                  <w:r>
                    <w:rPr>
                      <w:rFonts w:ascii="仿宋_GB2312" w:hAnsi="仿宋_GB2312" w:cs="仿宋_GB2312" w:eastAsia="仿宋_GB2312"/>
                      <w:sz w:val="18"/>
                    </w:rPr>
                    <w:t>-20~50℃，精度≤±0.5℃</w:t>
                  </w:r>
                </w:p>
                <w:p>
                  <w:pPr>
                    <w:pStyle w:val="null3"/>
                    <w:jc w:val="both"/>
                  </w:pPr>
                  <w:r>
                    <w:rPr>
                      <w:rFonts w:ascii="仿宋_GB2312" w:hAnsi="仿宋_GB2312" w:cs="仿宋_GB2312" w:eastAsia="仿宋_GB2312"/>
                      <w:sz w:val="18"/>
                    </w:rPr>
                    <w:t>土壤湿度：量程</w:t>
                  </w:r>
                  <w:r>
                    <w:rPr>
                      <w:rFonts w:ascii="仿宋_GB2312" w:hAnsi="仿宋_GB2312" w:cs="仿宋_GB2312" w:eastAsia="仿宋_GB2312"/>
                      <w:sz w:val="18"/>
                    </w:rPr>
                    <w:t>0~100%，精度≤±3%</w:t>
                  </w:r>
                </w:p>
                <w:p>
                  <w:pPr>
                    <w:pStyle w:val="null3"/>
                    <w:jc w:val="both"/>
                  </w:pPr>
                  <w:r>
                    <w:rPr>
                      <w:rFonts w:ascii="仿宋_GB2312" w:hAnsi="仿宋_GB2312" w:cs="仿宋_GB2312" w:eastAsia="仿宋_GB2312"/>
                      <w:sz w:val="18"/>
                    </w:rPr>
                    <w:t>土壤</w:t>
                  </w:r>
                  <w:r>
                    <w:rPr>
                      <w:rFonts w:ascii="仿宋_GB2312" w:hAnsi="仿宋_GB2312" w:cs="仿宋_GB2312" w:eastAsia="仿宋_GB2312"/>
                      <w:sz w:val="18"/>
                    </w:rPr>
                    <w:t>EC（电导率）：量程 0~20000μS/cm，精度±2%FS</w:t>
                  </w:r>
                </w:p>
                <w:p>
                  <w:pPr>
                    <w:pStyle w:val="null3"/>
                    <w:jc w:val="both"/>
                  </w:pPr>
                  <w:r>
                    <w:rPr>
                      <w:rFonts w:ascii="仿宋_GB2312" w:hAnsi="仿宋_GB2312" w:cs="仿宋_GB2312" w:eastAsia="仿宋_GB2312"/>
                      <w:sz w:val="18"/>
                    </w:rPr>
                    <w:t>土壤</w:t>
                  </w:r>
                  <w:r>
                    <w:rPr>
                      <w:rFonts w:ascii="仿宋_GB2312" w:hAnsi="仿宋_GB2312" w:cs="仿宋_GB2312" w:eastAsia="仿宋_GB2312"/>
                      <w:sz w:val="18"/>
                    </w:rPr>
                    <w:t>pH 值：量程 3~10pH，精度≤±0.2 pH</w:t>
                  </w:r>
                </w:p>
                <w:p>
                  <w:pPr>
                    <w:pStyle w:val="null3"/>
                    <w:jc w:val="both"/>
                  </w:pPr>
                  <w:r>
                    <w:rPr>
                      <w:rFonts w:ascii="仿宋_GB2312" w:hAnsi="仿宋_GB2312" w:cs="仿宋_GB2312" w:eastAsia="仿宋_GB2312"/>
                      <w:sz w:val="18"/>
                    </w:rPr>
                    <w:t>4.倾角：</w:t>
                  </w:r>
                </w:p>
                <w:p>
                  <w:pPr>
                    <w:pStyle w:val="null3"/>
                    <w:jc w:val="both"/>
                  </w:pPr>
                  <w:r>
                    <w:rPr>
                      <w:rFonts w:ascii="仿宋_GB2312" w:hAnsi="仿宋_GB2312" w:cs="仿宋_GB2312" w:eastAsia="仿宋_GB2312"/>
                      <w:sz w:val="18"/>
                    </w:rPr>
                    <w:t>水平角度量程</w:t>
                  </w:r>
                  <w:r>
                    <w:rPr>
                      <w:rFonts w:ascii="仿宋_GB2312" w:hAnsi="仿宋_GB2312" w:cs="仿宋_GB2312" w:eastAsia="仿宋_GB2312"/>
                      <w:sz w:val="18"/>
                    </w:rPr>
                    <w:t>:X轴倾斜角度:-180°~180°;Y轴倾斜角度:-90°~90°;</w:t>
                  </w:r>
                </w:p>
                <w:p>
                  <w:pPr>
                    <w:pStyle w:val="null3"/>
                    <w:jc w:val="both"/>
                  </w:pPr>
                  <w:r>
                    <w:rPr>
                      <w:rFonts w:ascii="仿宋_GB2312" w:hAnsi="仿宋_GB2312" w:cs="仿宋_GB2312" w:eastAsia="仿宋_GB2312"/>
                      <w:sz w:val="18"/>
                    </w:rPr>
                    <w:t>精度</w:t>
                  </w:r>
                  <w:r>
                    <w:rPr>
                      <w:rFonts w:ascii="仿宋_GB2312" w:hAnsi="仿宋_GB2312" w:cs="仿宋_GB2312" w:eastAsia="仿宋_GB2312"/>
                      <w:sz w:val="18"/>
                    </w:rPr>
                    <w:t>≤±0.2°</w:t>
                  </w:r>
                </w:p>
                <w:p>
                  <w:pPr>
                    <w:pStyle w:val="null3"/>
                    <w:jc w:val="both"/>
                  </w:pPr>
                  <w:r>
                    <w:rPr>
                      <w:rFonts w:ascii="仿宋_GB2312" w:hAnsi="仿宋_GB2312" w:cs="仿宋_GB2312" w:eastAsia="仿宋_GB2312"/>
                      <w:sz w:val="18"/>
                    </w:rPr>
                    <w:t>5.4G无线网络摄像头：</w:t>
                  </w:r>
                </w:p>
                <w:p>
                  <w:pPr>
                    <w:pStyle w:val="null3"/>
                    <w:jc w:val="both"/>
                  </w:pPr>
                  <w:r>
                    <w:rPr>
                      <w:rFonts w:ascii="仿宋_GB2312" w:hAnsi="仿宋_GB2312" w:cs="仿宋_GB2312" w:eastAsia="仿宋_GB2312"/>
                      <w:sz w:val="18"/>
                    </w:rPr>
                    <w:t>像素</w:t>
                  </w:r>
                  <w:r>
                    <w:rPr>
                      <w:rFonts w:ascii="仿宋_GB2312" w:hAnsi="仿宋_GB2312" w:cs="仿宋_GB2312" w:eastAsia="仿宋_GB2312"/>
                      <w:sz w:val="18"/>
                    </w:rPr>
                    <w:t>≥400万，满足LTE-TDD/LTE-FDD 4G无线网络传输，支持云存储（2年），内存≥128G，防护等级：IP66</w:t>
                  </w:r>
                </w:p>
                <w:p>
                  <w:pPr>
                    <w:pStyle w:val="null3"/>
                    <w:jc w:val="both"/>
                  </w:pPr>
                  <w:r>
                    <w:rPr>
                      <w:rFonts w:ascii="仿宋_GB2312" w:hAnsi="仿宋_GB2312" w:cs="仿宋_GB2312" w:eastAsia="仿宋_GB2312"/>
                      <w:sz w:val="18"/>
                    </w:rPr>
                    <w:t>6.太阳能蓄电设备：</w:t>
                  </w:r>
                </w:p>
                <w:p>
                  <w:pPr>
                    <w:pStyle w:val="null3"/>
                    <w:jc w:val="both"/>
                  </w:pPr>
                  <w:r>
                    <w:rPr>
                      <w:rFonts w:ascii="仿宋_GB2312" w:hAnsi="仿宋_GB2312" w:cs="仿宋_GB2312" w:eastAsia="仿宋_GB2312"/>
                      <w:sz w:val="18"/>
                    </w:rPr>
                    <w:t>包含单晶太阳能板、太阳能控制器、锂电池，电池参数：</w:t>
                  </w:r>
                  <w:r>
                    <w:rPr>
                      <w:rFonts w:ascii="仿宋_GB2312" w:hAnsi="仿宋_GB2312" w:cs="仿宋_GB2312" w:eastAsia="仿宋_GB2312"/>
                      <w:sz w:val="18"/>
                    </w:rPr>
                    <w:t>12V 60AH/720W/H</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茶叶揉捻机全自动加压及转数调节器</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加压电机功率</w:t>
                  </w:r>
                  <w:r>
                    <w:rPr>
                      <w:rFonts w:ascii="仿宋_GB2312" w:hAnsi="仿宋_GB2312" w:cs="仿宋_GB2312" w:eastAsia="仿宋_GB2312"/>
                      <w:sz w:val="18"/>
                    </w:rPr>
                    <w:t>≥220w,</w:t>
                  </w:r>
                  <w:r>
                    <w:rPr>
                      <w:rFonts w:ascii="仿宋_GB2312" w:hAnsi="仿宋_GB2312" w:cs="仿宋_GB2312" w:eastAsia="仿宋_GB2312"/>
                      <w:sz w:val="18"/>
                    </w:rPr>
                    <w:t>调速器功率</w:t>
                  </w:r>
                  <w:r>
                    <w:rPr>
                      <w:rFonts w:ascii="仿宋_GB2312" w:hAnsi="仿宋_GB2312" w:cs="仿宋_GB2312" w:eastAsia="仿宋_GB2312"/>
                      <w:sz w:val="18"/>
                    </w:rPr>
                    <w:t>≥</w:t>
                  </w:r>
                  <w:r>
                    <w:rPr>
                      <w:rFonts w:ascii="仿宋_GB2312" w:hAnsi="仿宋_GB2312" w:cs="仿宋_GB2312" w:eastAsia="仿宋_GB2312"/>
                      <w:sz w:val="18"/>
                    </w:rPr>
                    <w:t>4kw</w:t>
                  </w:r>
                  <w:r>
                    <w:rPr>
                      <w:rFonts w:ascii="仿宋_GB2312" w:hAnsi="仿宋_GB2312" w:cs="仿宋_GB2312" w:eastAsia="仿宋_GB2312"/>
                      <w:sz w:val="18"/>
                    </w:rPr>
                    <w:t>，转数可调节范围：</w:t>
                  </w:r>
                  <w:r>
                    <w:rPr>
                      <w:rFonts w:ascii="仿宋_GB2312" w:hAnsi="仿宋_GB2312" w:cs="仿宋_GB2312" w:eastAsia="仿宋_GB2312"/>
                      <w:sz w:val="18"/>
                    </w:rPr>
                    <w:t>0-50</w:t>
                  </w:r>
                  <w:r>
                    <w:rPr>
                      <w:rFonts w:ascii="仿宋_GB2312" w:hAnsi="仿宋_GB2312" w:cs="仿宋_GB2312" w:eastAsia="仿宋_GB2312"/>
                      <w:sz w:val="18"/>
                    </w:rPr>
                    <w:t>转</w:t>
                  </w:r>
                  <w:r>
                    <w:rPr>
                      <w:rFonts w:ascii="仿宋_GB2312" w:hAnsi="仿宋_GB2312" w:cs="仿宋_GB2312" w:eastAsia="仿宋_GB2312"/>
                      <w:sz w:val="18"/>
                    </w:rPr>
                    <w:t>/min</w:t>
                  </w:r>
                  <w:r>
                    <w:rPr>
                      <w:rFonts w:ascii="仿宋_GB2312" w:hAnsi="仿宋_GB2312" w:cs="仿宋_GB2312" w:eastAsia="仿宋_GB2312"/>
                      <w:sz w:val="18"/>
                    </w:rPr>
                    <w:t>；配套控制箱及安装。</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bl>
          <w:p>
            <w:pPr>
              <w:pStyle w:val="null3"/>
            </w:pPr>
            <w:r>
              <w:rPr>
                <w:rFonts w:ascii="仿宋_GB2312" w:hAnsi="仿宋_GB2312" w:cs="仿宋_GB2312" w:eastAsia="仿宋_GB2312"/>
                <w:sz w:val="20"/>
              </w:rPr>
              <w:t>注：以</w:t>
            </w:r>
            <w:r>
              <w:rPr>
                <w:rFonts w:ascii="仿宋_GB2312" w:hAnsi="仿宋_GB2312" w:cs="仿宋_GB2312" w:eastAsia="仿宋_GB2312"/>
                <w:sz w:val="20"/>
              </w:rPr>
              <w:t>“●”标注的为本项目核心产品；</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★1. 核心产品属于农业机械推广鉴定大纲目录内的设备，须提供农机鉴定机构颁发的农业机械推广鉴定证书和检测报告，复印件加盖公章，未提供鉴定证书和检测报告的将视为未实质性响应招标要求，导致投标无效。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自合同签订之日起60天内交付使用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西乡县峡口镇、堰口镇，具体位置由采购人指定。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合同签订后（根据财政部门安排）</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项目交付经验收合格后（根据财政部门安排）</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一、交付标准：（1）供应商向采购人提交项目实施过程中的所有资料。 （2）验收须以合同、招标文件及投标文件、澄清及国家相应的标准、规范等为依据。 （3）符合国家和履约相关的安全质量标准，行业技术规范标准、环保节能标准、强制性产品认证标准；（4）所有设备及辅材为全新、未拆封、原厂合格正品，符合招标文件及投标文件承诺中采购人认可的合理最佳配置、参数规格及各项要求，无减配、以次充好，所有设备需提供检测报告（按需提供计量认证、3C认证、农业机械推广鉴定证书等）、原厂合格证、配件、随机工具、用户使用手册（产品使用说明书）、保修卡等资料； （5）双方约定的其他验收标准。 （6）采购人在合同的履行期间以及履行期后，可以随时检查项目的执行情况，对采购标准、采购内容进行调查核实，并对发现的问题进行处理。二、验收方法：（1）核对设备数量、外观及随货资料完整性；进行安装调试后的功能测试；开展为期 15 天的试运行验收，确认设备稳定运行，所有指标达标后，双方签署验收文件；存在问题的，供应商需在 5 个工作日内整改完毕并申请复验。（2）双方约定的其他验收方法。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修范围：所有设备主体及配套配件、软件系统。（2）保修期：本项目整体免费质保2年，软件终身免费维护。（3）供应商承诺的保修期起始时间为终验合格之日。（4）保修责任：质保期出现的质量问题由中标供应商负责解决并承担所有费用。保修期内，供应商需在接到报修通知后 24 小时内响应，48 小时内到场维修（偏远地区可延长至 72 小时），维修费用（含配件、人工）由供应商承担；需更换配件的，更换后配件保修期自更换之日起重新计算。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一、违约责任1.供应商违约：（1）逾期交付：每逾期 1 日，按合同总金额的 0.5‰支付违约金，逾期超过 15 日，采购人有权解除合同并要求赔偿损失。但采购人书面同意延迟或因采购人原因导致延迟的，供应商不承担违约责任。 （2）质量不合格：未达验收标准的，则视为供应商没有按时交货而违约，供应商无条件更换合格的设备；如逾期不能更换合格的设备，采购人有权终止本合同，供应商应另向采购人支付货款总额的 10 %的违约金。（3）保修违约：如经供应商维修或更换，设备仍不能达到合同约定的质量标准，采购人有权退货，供应商应退回全部货款，造成采购人损失的另行赔偿。2.采购人违约：（1）逾期付款：每逾期 1 日，按应付未付款项的 0.5‰支付违约金。（2）无故拒收设备：需支付合同总金额 5% 的违约金，赔偿投标人实际损失。二、争议解决方法双方因合同履行产生争议，应先友好协商解决。协商不成的，可向项目所在地政府采购监管部门申请调解。调解无效的，依法向采购人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1.特别注意:为顺利推进政府采购电子化交易平台应用工作，投标人需要在线提交所有通过电子化交易平台实施的政府采购项目的投标文件。 2.中标人在采购结果发布后3个工作日内向代理机构提交纸质版响应文件以便于存档，响应文件正本1份，副本1份（可以使用签章文件直接打印），电子版文件1份（以U盘为载体，PDF格式，可以使用签章文件）。线下递交响应文件地点：汉中市南郑区南郑大道南300米（南郑工业园区管委会二楼）。 3.如招标文件中中小企业融资相关内容与新政策要求有出入，按照最新要求执行。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 注：若投标人未提供《汉中市政府采购供应商资格承诺函》，应当按照《中华人民共和国政府采购法》及其实施条例等相关法律法规规定，提供相应的证明材料：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投标人应当使用纳入陕西省政府采购综合管理平台数字 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技术参数偏离表.docx 业绩一览表.docx 开标一览表 农业机械推广鉴定证书及检测报告一览表.docx 分项报价表.docx 投标人应提交的相关资格证明材料.docx 投标函 标的清单 商务要求响应表.docx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 审查内容</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交货时间、质量保修范围和保修期</w:t>
            </w:r>
          </w:p>
        </w:tc>
        <w:tc>
          <w:tcPr>
            <w:tcW w:type="dxa" w:w="3322"/>
          </w:tcPr>
          <w:p>
            <w:pPr>
              <w:pStyle w:val="null3"/>
            </w:pPr>
            <w:r>
              <w:rPr>
                <w:rFonts w:ascii="仿宋_GB2312" w:hAnsi="仿宋_GB2312" w:cs="仿宋_GB2312" w:eastAsia="仿宋_GB2312"/>
              </w:rPr>
              <w:t>满足招标文件“第三章 招标项目技术、服务、商务及其他要求”</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满足招标文件“第三章 招标项目技术、服务、商务及其他要求”</w:t>
            </w:r>
          </w:p>
        </w:tc>
        <w:tc>
          <w:tcPr>
            <w:tcW w:type="dxa" w:w="1661"/>
          </w:tcPr>
          <w:p>
            <w:pPr>
              <w:pStyle w:val="null3"/>
            </w:pPr>
            <w:r>
              <w:rPr>
                <w:rFonts w:ascii="仿宋_GB2312" w:hAnsi="仿宋_GB2312" w:cs="仿宋_GB2312" w:eastAsia="仿宋_GB2312"/>
              </w:rPr>
              <w:t>技术参数偏离表.docx 农业机械推广鉴定证书及检测报告一览表.docx 商务要求响应表.docx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产品选型科学、合理、先进、配置齐全，满足招标文件要求，对每个产品逐条进行明确响应，无负偏离，得15分。参数每负偏离一项扣1分，扣完为止。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投标人针对本项目进行具有详细、具体的实施方案，包括但不限于：①项目进度计划及保障措施②订货及供货组织安排③设备质量目标及措施④拟派人员配置及岗位职责⑤设备安装调试方案⑥交货验收方案。 二、赋分标准 1、完整性：对上述各项内容均有描述，得6分；每缺1项扣1分，扣完为止。此项不提供不得分。 2、针对性：上述各项内容针对性强，每项内容得2分；针对性一般，每项内容得1分；缺乏针对性，每项内容得0分。此项不提供不得分。 3、可实施性：上述各项内容可实施性强，每项内容得2分；可实施性一般，每项内容得1分；缺乏可实施性，每项内容得0分。此项不提供不得分。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安全文明施工方案</w:t>
            </w:r>
          </w:p>
        </w:tc>
        <w:tc>
          <w:tcPr>
            <w:tcW w:type="dxa" w:w="2492"/>
          </w:tcPr>
          <w:p>
            <w:pPr>
              <w:pStyle w:val="null3"/>
            </w:pPr>
            <w:r>
              <w:rPr>
                <w:rFonts w:ascii="仿宋_GB2312" w:hAnsi="仿宋_GB2312" w:cs="仿宋_GB2312" w:eastAsia="仿宋_GB2312"/>
              </w:rPr>
              <w:t>一、评审内容 投标人针对本项目进行具有详细、具体的安全文明施工方案，包括但不限于：①施工方案技术措施②施工安全目标及措施③文明环保施工目标及措施④施工质量目标及措施。 二、赋分标准 1、完整性：对上述各项内容均有描述，得2分；每缺1项扣0.5分，扣完为止。此项不提供不得分。 2、针对性：上述各项内容针对性强，每项内容得1分；针对性一般，每项内容得0.5分；缺乏针对性，每项内容得0分。此项不提供不得分。 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投标人针对本项目进行具有详细、具体的售后服务方案，包括但不限于：①各类故障解决措施及响应时间②配合项目验收的售后服务方案③售后服务承诺。 二、赋分标准 1、完整性：上述各项内容均有描述，得3分；每缺1项扣1分，扣完为止。此项不提供不得分。 2、针对性：上述各项内容针对性强，每项内容得1分；针对性一般，每项内容得0.5分；缺乏针对性，每项内容得0分。此项不提供不得分。 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提供核心产品完整合法来源渠道证明：提供产品授权书或销售协议等得2分，此项不提供不得分。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投标人须提供 2023年1月1日至今类似项目业绩，投标文件正副本内附合同/协议书复印件并加盖公章，提供一份业绩得2分，最高得4分；此项不提供不得分。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详见附件：农业机械推广鉴定证书及检测报告一览表.docx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