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8148E">
      <w:pPr>
        <w:pStyle w:val="2"/>
        <w:shd w:val="clear"/>
        <w:jc w:val="center"/>
        <w:rPr>
          <w:rFonts w:hint="eastAsia" w:ascii="黑体" w:hAnsi="黑体" w:eastAsia="黑体" w:cs="黑体"/>
          <w:color w:val="000000" w:themeColor="text1"/>
          <w:sz w:val="28"/>
          <w:szCs w:val="28"/>
          <w:highlight w:val="none"/>
          <w14:textFill>
            <w14:solidFill>
              <w14:schemeClr w14:val="tx1"/>
            </w14:solidFill>
          </w14:textFill>
        </w:rPr>
      </w:pPr>
      <w:r>
        <w:rPr>
          <w:rFonts w:hint="eastAsia" w:ascii="黑体" w:hAnsi="黑体" w:eastAsia="黑体" w:cs="黑体"/>
          <w:color w:val="000000" w:themeColor="text1"/>
          <w:sz w:val="28"/>
          <w:szCs w:val="28"/>
          <w:highlight w:val="none"/>
          <w14:textFill>
            <w14:solidFill>
              <w14:schemeClr w14:val="tx1"/>
            </w14:solidFill>
          </w14:textFill>
        </w:rPr>
        <w:t>拟签订的合同文本</w:t>
      </w:r>
    </w:p>
    <w:p w14:paraId="471BB8FA">
      <w:pPr>
        <w:keepNext w:val="0"/>
        <w:keepLines w:val="0"/>
        <w:pageBreakBefore w:val="0"/>
        <w:widowControl w:val="0"/>
        <w:shd w:val="clear"/>
        <w:kinsoku/>
        <w:wordWrap/>
        <w:overflowPunct/>
        <w:topLinePunct w:val="0"/>
        <w:autoSpaceDE/>
        <w:autoSpaceDN/>
        <w:bidi w:val="0"/>
        <w:adjustRightInd w:val="0"/>
        <w:snapToGrid w:val="0"/>
        <w:spacing w:line="360" w:lineRule="auto"/>
        <w:ind w:firstLine="220" w:firstLineChars="100"/>
        <w:jc w:val="left"/>
        <w:textAlignment w:val="auto"/>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 注：本合同作为合同的基本格式，甲乙</w:t>
      </w:r>
      <w:r>
        <w:rPr>
          <w:rFonts w:hint="eastAsia" w:ascii="仿宋" w:hAnsi="仿宋" w:eastAsia="仿宋" w:cs="仿宋"/>
          <w:color w:val="000000" w:themeColor="text1"/>
          <w:sz w:val="22"/>
          <w:szCs w:val="22"/>
          <w:highlight w:val="none"/>
          <w:lang w:val="en-US" w:eastAsia="zh-CN"/>
          <w14:textFill>
            <w14:solidFill>
              <w14:schemeClr w14:val="tx1"/>
            </w14:solidFill>
          </w14:textFill>
        </w:rPr>
        <w:t>双</w:t>
      </w:r>
      <w:r>
        <w:rPr>
          <w:rFonts w:hint="eastAsia" w:ascii="仿宋" w:hAnsi="仿宋" w:eastAsia="仿宋" w:cs="仿宋"/>
          <w:color w:val="000000" w:themeColor="text1"/>
          <w:sz w:val="22"/>
          <w:szCs w:val="22"/>
          <w:highlight w:val="none"/>
          <w14:textFill>
            <w14:solidFill>
              <w14:schemeClr w14:val="tx1"/>
            </w14:solidFill>
          </w14:textFill>
        </w:rPr>
        <w:t>方有权在签订合同时对合同的相关条款及内容作进一步细化和修改</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lang w:val="en-US" w:eastAsia="zh-CN"/>
          <w14:textFill>
            <w14:solidFill>
              <w14:schemeClr w14:val="tx1"/>
            </w14:solidFill>
          </w14:textFill>
        </w:rPr>
        <w:t>但不得偏离招标文件及投标文件</w:t>
      </w:r>
      <w:r>
        <w:rPr>
          <w:rFonts w:hint="eastAsia" w:ascii="仿宋" w:hAnsi="仿宋" w:eastAsia="仿宋" w:cs="仿宋"/>
          <w:color w:val="000000" w:themeColor="text1"/>
          <w:sz w:val="22"/>
          <w:szCs w:val="22"/>
          <w:highlight w:val="none"/>
          <w14:textFill>
            <w14:solidFill>
              <w14:schemeClr w14:val="tx1"/>
            </w14:solidFill>
          </w14:textFill>
        </w:rPr>
        <w:t>）</w:t>
      </w:r>
    </w:p>
    <w:p w14:paraId="7784DEE6">
      <w:pPr>
        <w:pStyle w:val="12"/>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合同编号：</w:t>
      </w:r>
    </w:p>
    <w:p w14:paraId="37BAE100">
      <w:pPr>
        <w:pStyle w:val="12"/>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合同名称：</w:t>
      </w:r>
      <w:r>
        <w:rPr>
          <w:rFonts w:hint="eastAsia" w:ascii="仿宋" w:hAnsi="仿宋" w:eastAsia="仿宋" w:cs="仿宋"/>
          <w:color w:val="000000" w:themeColor="text1"/>
          <w:sz w:val="24"/>
          <w:szCs w:val="24"/>
          <w:highlight w:val="none"/>
          <w14:textFill>
            <w14:solidFill>
              <w14:schemeClr w14:val="tx1"/>
            </w14:solidFill>
          </w14:textFill>
        </w:rPr>
        <w:t xml:space="preserve"> </w:t>
      </w:r>
    </w:p>
    <w:p w14:paraId="5C23CEA4">
      <w:pPr>
        <w:pStyle w:val="12"/>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签订地点： </w:t>
      </w:r>
    </w:p>
    <w:p w14:paraId="0C48F3CE">
      <w:pPr>
        <w:pStyle w:val="12"/>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签订时间:</w:t>
      </w:r>
    </w:p>
    <w:p w14:paraId="615339B9">
      <w:pPr>
        <w:pStyle w:val="12"/>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采购人（甲方）：</w:t>
      </w:r>
    </w:p>
    <w:p w14:paraId="553EE56E">
      <w:pPr>
        <w:pStyle w:val="12"/>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供应商</w:t>
      </w:r>
      <w:r>
        <w:rPr>
          <w:rFonts w:hint="eastAsia" w:ascii="仿宋" w:hAnsi="仿宋" w:eastAsia="仿宋" w:cs="仿宋"/>
          <w:color w:val="000000" w:themeColor="text1"/>
          <w:sz w:val="24"/>
          <w:szCs w:val="24"/>
          <w:highlight w:val="none"/>
          <w14:textFill>
            <w14:solidFill>
              <w14:schemeClr w14:val="tx1"/>
            </w14:solidFill>
          </w14:textFill>
        </w:rPr>
        <w:t>（乙方）：</w:t>
      </w:r>
    </w:p>
    <w:p w14:paraId="6FD33EDE">
      <w:pPr>
        <w:pStyle w:val="12"/>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根据《中华人民共和国政府采购法》及实施条例、《中华人民共和国民法典》和</w:t>
      </w:r>
      <w:r>
        <w:rPr>
          <w:rFonts w:hint="eastAsia" w:ascii="仿宋" w:hAnsi="仿宋" w:eastAsia="仿宋" w:cs="仿宋"/>
          <w:color w:val="000000" w:themeColor="text1"/>
          <w:sz w:val="24"/>
          <w:szCs w:val="24"/>
          <w:highlight w:val="none"/>
          <w:lang w:val="en-US" w:eastAsia="zh-CN"/>
          <w14:textFill>
            <w14:solidFill>
              <w14:schemeClr w14:val="tx1"/>
            </w14:solidFill>
          </w14:textFill>
        </w:rPr>
        <w:t>招标文件</w:t>
      </w:r>
      <w:r>
        <w:rPr>
          <w:rFonts w:hint="eastAsia" w:ascii="仿宋" w:hAnsi="仿宋" w:eastAsia="仿宋" w:cs="仿宋"/>
          <w:color w:val="000000" w:themeColor="text1"/>
          <w:sz w:val="24"/>
          <w:szCs w:val="24"/>
          <w:highlight w:val="none"/>
          <w14:textFill>
            <w14:solidFill>
              <w14:schemeClr w14:val="tx1"/>
            </w14:solidFill>
          </w14:textFill>
        </w:rPr>
        <w:t>文件、投标文件等有关规定，为确保甲方采购项目的顺利实施，甲、乙双方在平等自愿原则下签订本合同，并共同遵守如下条款：</w:t>
      </w:r>
    </w:p>
    <w:p w14:paraId="5675F4EE">
      <w:pPr>
        <w:pStyle w:val="12"/>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0" w:name="_Toc16582"/>
      <w:r>
        <w:rPr>
          <w:rFonts w:hint="eastAsia" w:ascii="仿宋" w:hAnsi="仿宋" w:eastAsia="仿宋" w:cs="仿宋"/>
          <w:b/>
          <w:color w:val="000000" w:themeColor="text1"/>
          <w:sz w:val="24"/>
          <w:szCs w:val="24"/>
          <w:highlight w:val="none"/>
          <w14:textFill>
            <w14:solidFill>
              <w14:schemeClr w14:val="tx1"/>
            </w14:solidFill>
          </w14:textFill>
        </w:rPr>
        <w:t>第一条 合同标的及数量</w:t>
      </w:r>
      <w:bookmarkEnd w:id="0"/>
    </w:p>
    <w:p w14:paraId="69C4DEA5">
      <w:pPr>
        <w:pStyle w:val="12"/>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b/>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乙方向甲方提供下列货物（产品）：</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可以以附件形式提供</w:t>
      </w:r>
      <w:r>
        <w:rPr>
          <w:rFonts w:hint="eastAsia" w:ascii="仿宋" w:hAnsi="仿宋" w:eastAsia="仿宋" w:cs="仿宋"/>
          <w:color w:val="000000" w:themeColor="text1"/>
          <w:sz w:val="24"/>
          <w:szCs w:val="24"/>
          <w:highlight w:val="none"/>
          <w:lang w:eastAsia="zh-CN"/>
          <w14:textFill>
            <w14:solidFill>
              <w14:schemeClr w14:val="tx1"/>
            </w14:solidFill>
          </w14:textFill>
        </w:rPr>
        <w:t>）</w:t>
      </w:r>
    </w:p>
    <w:tbl>
      <w:tblPr>
        <w:tblStyle w:val="10"/>
        <w:tblpPr w:leftFromText="180" w:rightFromText="180" w:vertAnchor="text" w:horzAnchor="margin" w:tblpX="-712" w:tblpY="309"/>
        <w:tblW w:w="9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43"/>
        <w:gridCol w:w="915"/>
        <w:gridCol w:w="840"/>
        <w:gridCol w:w="1095"/>
        <w:gridCol w:w="1215"/>
        <w:gridCol w:w="1035"/>
        <w:gridCol w:w="1269"/>
        <w:gridCol w:w="1404"/>
      </w:tblGrid>
      <w:tr w14:paraId="7ECB9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900" w:type="dxa"/>
            <w:vAlign w:val="center"/>
          </w:tcPr>
          <w:p w14:paraId="28C2CCC2">
            <w:pPr>
              <w:pStyle w:val="3"/>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bookmarkStart w:id="1" w:name="_Toc26243"/>
            <w:r>
              <w:rPr>
                <w:rFonts w:hint="eastAsia" w:ascii="仿宋" w:hAnsi="仿宋" w:eastAsia="仿宋" w:cs="仿宋"/>
                <w:color w:val="000000" w:themeColor="text1"/>
                <w:sz w:val="24"/>
                <w:szCs w:val="24"/>
                <w:highlight w:val="none"/>
                <w14:textFill>
                  <w14:solidFill>
                    <w14:schemeClr w14:val="tx1"/>
                  </w14:solidFill>
                </w14:textFill>
              </w:rPr>
              <w:t>序号</w:t>
            </w:r>
            <w:bookmarkEnd w:id="1"/>
          </w:p>
        </w:tc>
        <w:tc>
          <w:tcPr>
            <w:tcW w:w="1143" w:type="dxa"/>
            <w:vAlign w:val="center"/>
          </w:tcPr>
          <w:p w14:paraId="4324E511">
            <w:pPr>
              <w:pStyle w:val="3"/>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bookmarkStart w:id="2" w:name="_Toc6556"/>
            <w:r>
              <w:rPr>
                <w:rFonts w:hint="eastAsia" w:ascii="仿宋" w:hAnsi="仿宋" w:eastAsia="仿宋" w:cs="仿宋"/>
                <w:color w:val="000000" w:themeColor="text1"/>
                <w:sz w:val="24"/>
                <w:szCs w:val="24"/>
                <w:highlight w:val="none"/>
                <w14:textFill>
                  <w14:solidFill>
                    <w14:schemeClr w14:val="tx1"/>
                  </w14:solidFill>
                </w14:textFill>
              </w:rPr>
              <w:t>名称</w:t>
            </w:r>
            <w:bookmarkEnd w:id="2"/>
          </w:p>
        </w:tc>
        <w:tc>
          <w:tcPr>
            <w:tcW w:w="915" w:type="dxa"/>
            <w:vAlign w:val="center"/>
          </w:tcPr>
          <w:p w14:paraId="66D4EDC2">
            <w:pPr>
              <w:pStyle w:val="3"/>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bookmarkStart w:id="3" w:name="_Toc23319"/>
            <w:r>
              <w:rPr>
                <w:rFonts w:hint="eastAsia" w:ascii="仿宋" w:hAnsi="仿宋" w:eastAsia="仿宋" w:cs="仿宋"/>
                <w:color w:val="000000" w:themeColor="text1"/>
                <w:sz w:val="24"/>
                <w:szCs w:val="24"/>
                <w:highlight w:val="none"/>
                <w14:textFill>
                  <w14:solidFill>
                    <w14:schemeClr w14:val="tx1"/>
                  </w14:solidFill>
                </w14:textFill>
              </w:rPr>
              <w:t>规格</w:t>
            </w:r>
            <w:bookmarkEnd w:id="3"/>
          </w:p>
        </w:tc>
        <w:tc>
          <w:tcPr>
            <w:tcW w:w="840" w:type="dxa"/>
            <w:vAlign w:val="center"/>
          </w:tcPr>
          <w:p w14:paraId="277184E8">
            <w:pPr>
              <w:pStyle w:val="3"/>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bookmarkStart w:id="4" w:name="_Toc28484"/>
            <w:r>
              <w:rPr>
                <w:rFonts w:hint="default" w:ascii="仿宋" w:hAnsi="仿宋" w:eastAsia="仿宋" w:cs="仿宋"/>
                <w:color w:val="000000" w:themeColor="text1"/>
                <w:sz w:val="24"/>
                <w:szCs w:val="24"/>
                <w:highlight w:val="none"/>
                <w:lang w:val="en-US" w:eastAsia="zh-CN"/>
                <w14:textFill>
                  <w14:solidFill>
                    <w14:schemeClr w14:val="tx1"/>
                  </w14:solidFill>
                </w14:textFill>
              </w:rPr>
              <w:t>品牌</w:t>
            </w:r>
          </w:p>
        </w:tc>
        <w:tc>
          <w:tcPr>
            <w:tcW w:w="1095" w:type="dxa"/>
            <w:vAlign w:val="center"/>
          </w:tcPr>
          <w:p w14:paraId="3B793630">
            <w:pPr>
              <w:pStyle w:val="3"/>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制造商</w:t>
            </w:r>
          </w:p>
        </w:tc>
        <w:tc>
          <w:tcPr>
            <w:tcW w:w="1215" w:type="dxa"/>
            <w:vAlign w:val="center"/>
          </w:tcPr>
          <w:p w14:paraId="2C1BD7C8">
            <w:pPr>
              <w:pStyle w:val="3"/>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计量单位</w:t>
            </w:r>
            <w:bookmarkEnd w:id="4"/>
          </w:p>
        </w:tc>
        <w:tc>
          <w:tcPr>
            <w:tcW w:w="1035" w:type="dxa"/>
            <w:vAlign w:val="center"/>
          </w:tcPr>
          <w:p w14:paraId="26523ACD">
            <w:pPr>
              <w:pStyle w:val="3"/>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bookmarkStart w:id="5" w:name="_Toc11791"/>
            <w:r>
              <w:rPr>
                <w:rFonts w:hint="eastAsia" w:ascii="仿宋" w:hAnsi="仿宋" w:eastAsia="仿宋" w:cs="仿宋"/>
                <w:color w:val="000000" w:themeColor="text1"/>
                <w:sz w:val="24"/>
                <w:szCs w:val="24"/>
                <w:highlight w:val="none"/>
                <w14:textFill>
                  <w14:solidFill>
                    <w14:schemeClr w14:val="tx1"/>
                  </w14:solidFill>
                </w14:textFill>
              </w:rPr>
              <w:t>数量</w:t>
            </w:r>
            <w:bookmarkEnd w:id="5"/>
          </w:p>
        </w:tc>
        <w:tc>
          <w:tcPr>
            <w:tcW w:w="1269" w:type="dxa"/>
            <w:vAlign w:val="center"/>
          </w:tcPr>
          <w:p w14:paraId="7EDB94D5">
            <w:pPr>
              <w:pStyle w:val="3"/>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bookmarkStart w:id="6" w:name="_Toc12328"/>
            <w:r>
              <w:rPr>
                <w:rFonts w:hint="eastAsia" w:ascii="仿宋" w:hAnsi="仿宋" w:eastAsia="仿宋" w:cs="仿宋"/>
                <w:color w:val="000000" w:themeColor="text1"/>
                <w:sz w:val="24"/>
                <w:szCs w:val="24"/>
                <w:highlight w:val="none"/>
                <w14:textFill>
                  <w14:solidFill>
                    <w14:schemeClr w14:val="tx1"/>
                  </w14:solidFill>
                </w14:textFill>
              </w:rPr>
              <w:t>单价（元）</w:t>
            </w:r>
            <w:bookmarkEnd w:id="6"/>
          </w:p>
        </w:tc>
        <w:tc>
          <w:tcPr>
            <w:tcW w:w="1404" w:type="dxa"/>
            <w:vAlign w:val="center"/>
          </w:tcPr>
          <w:p w14:paraId="5AA768B7">
            <w:pPr>
              <w:pStyle w:val="3"/>
              <w:keepNext w:val="0"/>
              <w:keepLines w:val="0"/>
              <w:pageBreakBefore w:val="0"/>
              <w:widowControl w:val="0"/>
              <w:shd w:val="clear"/>
              <w:kinsoku/>
              <w:wordWrap/>
              <w:overflowPunct/>
              <w:topLinePunct w:val="0"/>
              <w:autoSpaceDE/>
              <w:autoSpaceDN/>
              <w:bidi w:val="0"/>
              <w:adjustRightInd w:val="0"/>
              <w:snapToGrid w:val="0"/>
              <w:spacing w:line="240" w:lineRule="auto"/>
              <w:ind w:left="0" w:firstLine="241"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bookmarkStart w:id="7" w:name="_Toc7450"/>
            <w:r>
              <w:rPr>
                <w:rFonts w:hint="eastAsia" w:ascii="仿宋" w:hAnsi="仿宋" w:eastAsia="仿宋" w:cs="仿宋"/>
                <w:color w:val="000000" w:themeColor="text1"/>
                <w:sz w:val="24"/>
                <w:szCs w:val="24"/>
                <w:highlight w:val="none"/>
                <w14:textFill>
                  <w14:solidFill>
                    <w14:schemeClr w14:val="tx1"/>
                  </w14:solidFill>
                </w14:textFill>
              </w:rPr>
              <w:t>金额 (元)</w:t>
            </w:r>
            <w:bookmarkEnd w:id="7"/>
          </w:p>
        </w:tc>
      </w:tr>
      <w:tr w14:paraId="6CD58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00" w:type="dxa"/>
          </w:tcPr>
          <w:p w14:paraId="081A7108">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143" w:type="dxa"/>
          </w:tcPr>
          <w:p w14:paraId="4D4E3B0C">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15" w:type="dxa"/>
          </w:tcPr>
          <w:p w14:paraId="7FBA7640">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40" w:type="dxa"/>
          </w:tcPr>
          <w:p w14:paraId="5E4825C1">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095" w:type="dxa"/>
          </w:tcPr>
          <w:p w14:paraId="1E992B2D">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5" w:type="dxa"/>
          </w:tcPr>
          <w:p w14:paraId="642C1C48">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035" w:type="dxa"/>
          </w:tcPr>
          <w:p w14:paraId="72F1FE70">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69" w:type="dxa"/>
          </w:tcPr>
          <w:p w14:paraId="4CED1197">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04" w:type="dxa"/>
          </w:tcPr>
          <w:p w14:paraId="3AB22ADC">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4B59F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00" w:type="dxa"/>
          </w:tcPr>
          <w:p w14:paraId="656EFABE">
            <w:pPr>
              <w:pStyle w:val="4"/>
              <w:shd w:val="clear"/>
              <w:spacing w:line="360" w:lineRule="auto"/>
              <w:rPr>
                <w:rFonts w:hint="eastAsia" w:ascii="仿宋" w:hAnsi="仿宋" w:eastAsia="仿宋" w:cs="仿宋"/>
                <w:color w:val="000000" w:themeColor="text1"/>
                <w:sz w:val="24"/>
                <w:szCs w:val="24"/>
                <w:highlight w:val="none"/>
                <w14:textFill>
                  <w14:solidFill>
                    <w14:schemeClr w14:val="tx1"/>
                  </w14:solidFill>
                </w14:textFill>
              </w:rPr>
            </w:pPr>
          </w:p>
        </w:tc>
        <w:tc>
          <w:tcPr>
            <w:tcW w:w="1143" w:type="dxa"/>
          </w:tcPr>
          <w:p w14:paraId="3B53A880">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15" w:type="dxa"/>
          </w:tcPr>
          <w:p w14:paraId="3172975C">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40" w:type="dxa"/>
          </w:tcPr>
          <w:p w14:paraId="521CB0A1">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095" w:type="dxa"/>
          </w:tcPr>
          <w:p w14:paraId="1A157652">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5" w:type="dxa"/>
          </w:tcPr>
          <w:p w14:paraId="41F41378">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035" w:type="dxa"/>
          </w:tcPr>
          <w:p w14:paraId="7910DFE6">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69" w:type="dxa"/>
          </w:tcPr>
          <w:p w14:paraId="33EB7318">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04" w:type="dxa"/>
          </w:tcPr>
          <w:p w14:paraId="382F53AA">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1F03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00" w:type="dxa"/>
          </w:tcPr>
          <w:p w14:paraId="7F5B0387">
            <w:pPr>
              <w:pStyle w:val="4"/>
              <w:shd w:val="clear"/>
              <w:spacing w:line="360" w:lineRule="auto"/>
              <w:rPr>
                <w:rFonts w:hint="eastAsia" w:ascii="仿宋" w:hAnsi="仿宋" w:eastAsia="仿宋" w:cs="仿宋"/>
                <w:color w:val="000000" w:themeColor="text1"/>
                <w:sz w:val="24"/>
                <w:szCs w:val="24"/>
                <w:highlight w:val="none"/>
                <w14:textFill>
                  <w14:solidFill>
                    <w14:schemeClr w14:val="tx1"/>
                  </w14:solidFill>
                </w14:textFill>
              </w:rPr>
            </w:pPr>
          </w:p>
        </w:tc>
        <w:tc>
          <w:tcPr>
            <w:tcW w:w="1143" w:type="dxa"/>
          </w:tcPr>
          <w:p w14:paraId="10CB2CA9">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15" w:type="dxa"/>
          </w:tcPr>
          <w:p w14:paraId="315721EC">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40" w:type="dxa"/>
          </w:tcPr>
          <w:p w14:paraId="414C8E69">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095" w:type="dxa"/>
          </w:tcPr>
          <w:p w14:paraId="5C6BE112">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5" w:type="dxa"/>
          </w:tcPr>
          <w:p w14:paraId="760A11FB">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035" w:type="dxa"/>
          </w:tcPr>
          <w:p w14:paraId="7A475164">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69" w:type="dxa"/>
          </w:tcPr>
          <w:p w14:paraId="291E7F2E">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04" w:type="dxa"/>
          </w:tcPr>
          <w:p w14:paraId="1416B8AB">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DAC4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00" w:type="dxa"/>
          </w:tcPr>
          <w:p w14:paraId="129C369E">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143" w:type="dxa"/>
          </w:tcPr>
          <w:p w14:paraId="39A94F54">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15" w:type="dxa"/>
          </w:tcPr>
          <w:p w14:paraId="76AED951">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40" w:type="dxa"/>
          </w:tcPr>
          <w:p w14:paraId="78983596">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095" w:type="dxa"/>
          </w:tcPr>
          <w:p w14:paraId="70A5CB62">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5" w:type="dxa"/>
          </w:tcPr>
          <w:p w14:paraId="06EE4C06">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035" w:type="dxa"/>
          </w:tcPr>
          <w:p w14:paraId="716A6154">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69" w:type="dxa"/>
          </w:tcPr>
          <w:p w14:paraId="4FAFBD17">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04" w:type="dxa"/>
          </w:tcPr>
          <w:p w14:paraId="67E85EDB">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4A8B4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00" w:type="dxa"/>
          </w:tcPr>
          <w:p w14:paraId="3FD431F5">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143" w:type="dxa"/>
          </w:tcPr>
          <w:p w14:paraId="153872BD">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15" w:type="dxa"/>
          </w:tcPr>
          <w:p w14:paraId="0F9E4C4F">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40" w:type="dxa"/>
          </w:tcPr>
          <w:p w14:paraId="5ACFE5A3">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095" w:type="dxa"/>
          </w:tcPr>
          <w:p w14:paraId="15BC98CC">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5" w:type="dxa"/>
          </w:tcPr>
          <w:p w14:paraId="6CAE3BF3">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035" w:type="dxa"/>
          </w:tcPr>
          <w:p w14:paraId="5ADC8DED">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69" w:type="dxa"/>
          </w:tcPr>
          <w:p w14:paraId="54072AF9">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04" w:type="dxa"/>
          </w:tcPr>
          <w:p w14:paraId="5510887E">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1AF32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00" w:type="dxa"/>
          </w:tcPr>
          <w:p w14:paraId="7DC70F32">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143" w:type="dxa"/>
          </w:tcPr>
          <w:p w14:paraId="209FC80C">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15" w:type="dxa"/>
          </w:tcPr>
          <w:p w14:paraId="146A4247">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40" w:type="dxa"/>
          </w:tcPr>
          <w:p w14:paraId="420AB2F9">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095" w:type="dxa"/>
          </w:tcPr>
          <w:p w14:paraId="3D12B833">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5" w:type="dxa"/>
          </w:tcPr>
          <w:p w14:paraId="1050FDAD">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035" w:type="dxa"/>
          </w:tcPr>
          <w:p w14:paraId="558E480E">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69" w:type="dxa"/>
          </w:tcPr>
          <w:p w14:paraId="58A109A8">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04" w:type="dxa"/>
          </w:tcPr>
          <w:p w14:paraId="15A58392">
            <w:pPr>
              <w:pStyle w:val="3"/>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48A21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958" w:type="dxa"/>
            <w:gridSpan w:val="3"/>
          </w:tcPr>
          <w:p w14:paraId="1C875AE8">
            <w:pPr>
              <w:pStyle w:val="3"/>
              <w:shd w:val="clear"/>
              <w:ind w:firstLine="354" w:firstLineChars="147"/>
              <w:rPr>
                <w:rFonts w:hint="eastAsia" w:ascii="仿宋" w:hAnsi="仿宋" w:eastAsia="仿宋" w:cs="仿宋"/>
                <w:color w:val="000000" w:themeColor="text1"/>
                <w:sz w:val="24"/>
                <w:szCs w:val="24"/>
                <w:highlight w:val="none"/>
                <w14:textFill>
                  <w14:solidFill>
                    <w14:schemeClr w14:val="tx1"/>
                  </w14:solidFill>
                </w14:textFill>
              </w:rPr>
            </w:pPr>
            <w:bookmarkStart w:id="8" w:name="_Toc12416"/>
            <w:r>
              <w:rPr>
                <w:rFonts w:hint="eastAsia" w:ascii="仿宋" w:hAnsi="仿宋" w:eastAsia="仿宋" w:cs="仿宋"/>
                <w:color w:val="000000" w:themeColor="text1"/>
                <w:sz w:val="24"/>
                <w:szCs w:val="24"/>
                <w:highlight w:val="none"/>
                <w14:textFill>
                  <w14:solidFill>
                    <w14:schemeClr w14:val="tx1"/>
                  </w14:solidFill>
                </w14:textFill>
              </w:rPr>
              <w:t>合计</w:t>
            </w:r>
            <w:bookmarkEnd w:id="8"/>
          </w:p>
        </w:tc>
        <w:tc>
          <w:tcPr>
            <w:tcW w:w="840" w:type="dxa"/>
            <w:vAlign w:val="center"/>
          </w:tcPr>
          <w:p w14:paraId="24F84BC6">
            <w:pPr>
              <w:pStyle w:val="3"/>
              <w:shd w:val="clear"/>
              <w:rPr>
                <w:rFonts w:hint="eastAsia" w:ascii="仿宋" w:hAnsi="仿宋" w:eastAsia="仿宋" w:cs="仿宋"/>
                <w:color w:val="000000" w:themeColor="text1"/>
                <w:sz w:val="24"/>
                <w:szCs w:val="24"/>
                <w:highlight w:val="none"/>
                <w14:textFill>
                  <w14:solidFill>
                    <w14:schemeClr w14:val="tx1"/>
                  </w14:solidFill>
                </w14:textFill>
              </w:rPr>
            </w:pPr>
            <w:bookmarkStart w:id="9" w:name="_Toc3021"/>
          </w:p>
        </w:tc>
        <w:tc>
          <w:tcPr>
            <w:tcW w:w="1095" w:type="dxa"/>
            <w:vAlign w:val="center"/>
          </w:tcPr>
          <w:p w14:paraId="23DA1EA0">
            <w:pPr>
              <w:pStyle w:val="3"/>
              <w:shd w:val="clear"/>
              <w:rPr>
                <w:rFonts w:hint="eastAsia" w:ascii="仿宋" w:hAnsi="仿宋" w:eastAsia="仿宋" w:cs="仿宋"/>
                <w:color w:val="000000" w:themeColor="text1"/>
                <w:sz w:val="24"/>
                <w:szCs w:val="24"/>
                <w:highlight w:val="none"/>
                <w14:textFill>
                  <w14:solidFill>
                    <w14:schemeClr w14:val="tx1"/>
                  </w14:solidFill>
                </w14:textFill>
              </w:rPr>
            </w:pPr>
          </w:p>
        </w:tc>
        <w:tc>
          <w:tcPr>
            <w:tcW w:w="2250" w:type="dxa"/>
            <w:gridSpan w:val="2"/>
            <w:vAlign w:val="center"/>
          </w:tcPr>
          <w:p w14:paraId="541BBA4C">
            <w:pPr>
              <w:pStyle w:val="3"/>
              <w:shd w:val="clea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大写</w:t>
            </w:r>
            <w:bookmarkEnd w:id="9"/>
          </w:p>
        </w:tc>
        <w:tc>
          <w:tcPr>
            <w:tcW w:w="2673" w:type="dxa"/>
            <w:gridSpan w:val="2"/>
            <w:vAlign w:val="center"/>
          </w:tcPr>
          <w:p w14:paraId="4AE5EACF">
            <w:pPr>
              <w:pStyle w:val="3"/>
              <w:shd w:val="clear"/>
              <w:rPr>
                <w:rFonts w:hint="eastAsia" w:ascii="仿宋" w:hAnsi="仿宋" w:eastAsia="仿宋" w:cs="仿宋"/>
                <w:color w:val="000000" w:themeColor="text1"/>
                <w:sz w:val="24"/>
                <w:szCs w:val="24"/>
                <w:highlight w:val="none"/>
                <w14:textFill>
                  <w14:solidFill>
                    <w14:schemeClr w14:val="tx1"/>
                  </w14:solidFill>
                </w14:textFill>
              </w:rPr>
            </w:pPr>
            <w:bookmarkStart w:id="10" w:name="_Toc3291"/>
            <w:r>
              <w:rPr>
                <w:rFonts w:hint="default" w:ascii="Arial" w:hAnsi="Arial" w:eastAsia="仿宋" w:cs="Arial"/>
                <w:color w:val="000000" w:themeColor="text1"/>
                <w:sz w:val="24"/>
                <w:szCs w:val="24"/>
                <w:highlight w:val="none"/>
                <w14:textFill>
                  <w14:solidFill>
                    <w14:schemeClr w14:val="tx1"/>
                  </w14:solidFill>
                </w14:textFill>
              </w:rPr>
              <w:t>¥</w:t>
            </w:r>
            <w:bookmarkEnd w:id="10"/>
          </w:p>
        </w:tc>
      </w:tr>
    </w:tbl>
    <w:p w14:paraId="02EB2EFF">
      <w:pPr>
        <w:pStyle w:val="12"/>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jc w:val="both"/>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1" w:name="_Toc5759"/>
      <w:r>
        <w:rPr>
          <w:rFonts w:hint="eastAsia" w:ascii="仿宋" w:hAnsi="仿宋" w:eastAsia="仿宋" w:cs="仿宋"/>
          <w:b/>
          <w:color w:val="000000" w:themeColor="text1"/>
          <w:sz w:val="24"/>
          <w:szCs w:val="24"/>
          <w:highlight w:val="none"/>
          <w14:textFill>
            <w14:solidFill>
              <w14:schemeClr w14:val="tx1"/>
            </w14:solidFill>
          </w14:textFill>
        </w:rPr>
        <w:t>第二条 合同价款</w:t>
      </w:r>
      <w:bookmarkEnd w:id="11"/>
    </w:p>
    <w:p w14:paraId="36A0BB56">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jc w:val="left"/>
        <w:rPr>
          <w:rFonts w:hint="eastAsia" w:ascii="仿宋" w:hAnsi="仿宋" w:eastAsia="仿宋" w:cs="仿宋"/>
          <w:b w:val="0"/>
          <w:color w:val="000000" w:themeColor="text1"/>
          <w:sz w:val="24"/>
          <w:szCs w:val="24"/>
          <w:highlight w:val="none"/>
          <w14:textFill>
            <w14:solidFill>
              <w14:schemeClr w14:val="tx1"/>
            </w14:solidFill>
          </w14:textFill>
        </w:rPr>
      </w:pPr>
      <w:bookmarkStart w:id="12" w:name="_Toc16920"/>
      <w:r>
        <w:rPr>
          <w:rFonts w:hint="eastAsia" w:ascii="仿宋" w:hAnsi="仿宋" w:eastAsia="仿宋" w:cs="仿宋"/>
          <w:b w:val="0"/>
          <w:color w:val="000000" w:themeColor="text1"/>
          <w:sz w:val="24"/>
          <w:szCs w:val="24"/>
          <w:highlight w:val="none"/>
          <w14:textFill>
            <w14:solidFill>
              <w14:schemeClr w14:val="tx1"/>
            </w14:solidFill>
          </w14:textFill>
        </w:rPr>
        <w:t>1、合同总价为人民币</w:t>
      </w:r>
      <w:r>
        <w:rPr>
          <w:rFonts w:hint="eastAsia" w:ascii="仿宋" w:hAnsi="仿宋" w:eastAsia="仿宋" w:cs="仿宋"/>
          <w:b w:val="0"/>
          <w:color w:val="000000" w:themeColor="text1"/>
          <w:sz w:val="24"/>
          <w:szCs w:val="24"/>
          <w:highlight w:val="none"/>
          <w:u w:val="single"/>
          <w14:textFill>
            <w14:solidFill>
              <w14:schemeClr w14:val="tx1"/>
            </w14:solidFill>
          </w14:textFill>
        </w:rPr>
        <w:t>大写：</w:t>
      </w:r>
      <w:r>
        <w:rPr>
          <w:rFonts w:hint="eastAsia" w:ascii="仿宋" w:hAnsi="仿宋" w:eastAsia="仿宋" w:cs="仿宋"/>
          <w:b w:val="0"/>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4"/>
          <w:szCs w:val="24"/>
          <w:highlight w:val="none"/>
          <w:u w:val="single"/>
          <w14:textFill>
            <w14:solidFill>
              <w14:schemeClr w14:val="tx1"/>
            </w14:solidFill>
          </w14:textFill>
        </w:rPr>
        <w:t>，</w:t>
      </w:r>
      <w:r>
        <w:rPr>
          <w:rFonts w:hint="eastAsia" w:ascii="仿宋" w:hAnsi="仿宋" w:eastAsia="仿宋" w:cs="仿宋"/>
          <w:b w:val="0"/>
          <w:color w:val="000000" w:themeColor="text1"/>
          <w:sz w:val="24"/>
          <w:szCs w:val="24"/>
          <w:highlight w:val="none"/>
          <w:u w:val="single"/>
          <w:lang w:val="en-US" w:eastAsia="zh-CN"/>
          <w14:textFill>
            <w14:solidFill>
              <w14:schemeClr w14:val="tx1"/>
            </w14:solidFill>
          </w14:textFill>
        </w:rPr>
        <w:t xml:space="preserve">小写：      </w:t>
      </w:r>
      <w:r>
        <w:rPr>
          <w:rFonts w:hint="eastAsia" w:ascii="仿宋" w:hAnsi="仿宋" w:eastAsia="仿宋" w:cs="仿宋"/>
          <w:b w:val="0"/>
          <w:color w:val="000000" w:themeColor="text1"/>
          <w:sz w:val="24"/>
          <w:szCs w:val="24"/>
          <w:highlight w:val="none"/>
          <w14:textFill>
            <w14:solidFill>
              <w14:schemeClr w14:val="tx1"/>
            </w14:solidFill>
          </w14:textFill>
        </w:rPr>
        <w:t>。</w:t>
      </w:r>
      <w:bookmarkEnd w:id="12"/>
    </w:p>
    <w:p w14:paraId="7843DAEF">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jc w:val="left"/>
        <w:rPr>
          <w:rFonts w:hint="eastAsia" w:ascii="仿宋" w:hAnsi="仿宋" w:eastAsia="仿宋" w:cs="仿宋"/>
          <w:b w:val="0"/>
          <w:color w:val="000000" w:themeColor="text1"/>
          <w:sz w:val="24"/>
          <w:szCs w:val="24"/>
          <w:highlight w:val="none"/>
          <w14:textFill>
            <w14:solidFill>
              <w14:schemeClr w14:val="tx1"/>
            </w14:solidFill>
          </w14:textFill>
        </w:rPr>
      </w:pPr>
      <w:bookmarkStart w:id="13" w:name="_Toc22771"/>
      <w:r>
        <w:rPr>
          <w:rFonts w:hint="eastAsia" w:ascii="仿宋" w:hAnsi="仿宋" w:eastAsia="仿宋" w:cs="仿宋"/>
          <w:b w:val="0"/>
          <w:color w:val="000000" w:themeColor="text1"/>
          <w:sz w:val="24"/>
          <w:szCs w:val="24"/>
          <w:highlight w:val="none"/>
          <w14:textFill>
            <w14:solidFill>
              <w14:schemeClr w14:val="tx1"/>
            </w14:solidFill>
          </w14:textFill>
        </w:rPr>
        <w:t>2、本合同总价是</w:t>
      </w:r>
      <w:r>
        <w:rPr>
          <w:rFonts w:hint="eastAsia" w:ascii="仿宋" w:hAnsi="仿宋" w:eastAsia="仿宋" w:cs="仿宋"/>
          <w:b w:val="0"/>
          <w:color w:val="000000" w:themeColor="text1"/>
          <w:sz w:val="24"/>
          <w:szCs w:val="24"/>
          <w:highlight w:val="none"/>
          <w:lang w:val="en-US" w:eastAsia="zh-CN"/>
          <w14:textFill>
            <w14:solidFill>
              <w14:schemeClr w14:val="tx1"/>
            </w14:solidFill>
          </w14:textFill>
        </w:rPr>
        <w:t>货物</w:t>
      </w:r>
      <w:r>
        <w:rPr>
          <w:rFonts w:hint="eastAsia" w:ascii="仿宋" w:hAnsi="仿宋" w:eastAsia="仿宋" w:cs="仿宋"/>
          <w:b w:val="0"/>
          <w:color w:val="000000" w:themeColor="text1"/>
          <w:sz w:val="24"/>
          <w:szCs w:val="24"/>
          <w:highlight w:val="none"/>
          <w14:textFill>
            <w14:solidFill>
              <w14:schemeClr w14:val="tx1"/>
            </w14:solidFill>
          </w14:textFill>
        </w:rPr>
        <w:t>（产品）包装、运输等其他有关各项的含税费用。</w:t>
      </w:r>
      <w:bookmarkEnd w:id="13"/>
    </w:p>
    <w:p w14:paraId="08209724">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jc w:val="left"/>
        <w:rPr>
          <w:rFonts w:hint="eastAsia" w:ascii="仿宋" w:hAnsi="仿宋" w:eastAsia="仿宋" w:cs="仿宋"/>
          <w:b w:val="0"/>
          <w:color w:val="000000" w:themeColor="text1"/>
          <w:sz w:val="24"/>
          <w:szCs w:val="24"/>
          <w:highlight w:val="none"/>
          <w14:textFill>
            <w14:solidFill>
              <w14:schemeClr w14:val="tx1"/>
            </w14:solidFill>
          </w14:textFill>
        </w:rPr>
      </w:pPr>
      <w:bookmarkStart w:id="14" w:name="_Toc11740"/>
      <w:r>
        <w:rPr>
          <w:rFonts w:hint="eastAsia" w:ascii="仿宋" w:hAnsi="仿宋" w:eastAsia="仿宋" w:cs="仿宋"/>
          <w:b w:val="0"/>
          <w:color w:val="000000" w:themeColor="text1"/>
          <w:sz w:val="24"/>
          <w:szCs w:val="24"/>
          <w:highlight w:val="none"/>
          <w14:textFill>
            <w14:solidFill>
              <w14:schemeClr w14:val="tx1"/>
            </w14:solidFill>
          </w14:textFill>
        </w:rPr>
        <w:t>3、本合同总价还包含乙方应当提供的伴随服务和售后服务费用。</w:t>
      </w:r>
      <w:bookmarkEnd w:id="14"/>
    </w:p>
    <w:p w14:paraId="3526632D">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jc w:val="left"/>
        <w:rPr>
          <w:rFonts w:hint="eastAsia" w:ascii="仿宋" w:hAnsi="仿宋" w:eastAsia="仿宋" w:cs="仿宋"/>
          <w:b w:val="0"/>
          <w:color w:val="000000" w:themeColor="text1"/>
          <w:sz w:val="24"/>
          <w:szCs w:val="24"/>
          <w:highlight w:val="none"/>
          <w14:textFill>
            <w14:solidFill>
              <w14:schemeClr w14:val="tx1"/>
            </w14:solidFill>
          </w14:textFill>
        </w:rPr>
      </w:pPr>
      <w:bookmarkStart w:id="15" w:name="_Toc28511"/>
      <w:r>
        <w:rPr>
          <w:rFonts w:hint="eastAsia" w:ascii="仿宋" w:hAnsi="仿宋" w:eastAsia="仿宋" w:cs="仿宋"/>
          <w:b w:val="0"/>
          <w:color w:val="000000" w:themeColor="text1"/>
          <w:sz w:val="24"/>
          <w:szCs w:val="24"/>
          <w:highlight w:val="none"/>
          <w14:textFill>
            <w14:solidFill>
              <w14:schemeClr w14:val="tx1"/>
            </w14:solidFill>
          </w14:textFill>
        </w:rPr>
        <w:t>4、本合同执行期间合同总价不变，甲方无须另向乙方支付本合同规定之外的其他任何费用。</w:t>
      </w:r>
      <w:bookmarkEnd w:id="15"/>
    </w:p>
    <w:p w14:paraId="49F7616C">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jc w:val="left"/>
        <w:rPr>
          <w:rFonts w:hint="eastAsia" w:ascii="仿宋" w:hAnsi="仿宋" w:eastAsia="仿宋" w:cs="仿宋"/>
          <w:b w:val="0"/>
          <w:color w:val="000000" w:themeColor="text1"/>
          <w:sz w:val="24"/>
          <w:szCs w:val="24"/>
          <w:highlight w:val="none"/>
          <w14:textFill>
            <w14:solidFill>
              <w14:schemeClr w14:val="tx1"/>
            </w14:solidFill>
          </w14:textFill>
        </w:rPr>
      </w:pPr>
      <w:bookmarkStart w:id="16" w:name="_Toc1038"/>
      <w:r>
        <w:rPr>
          <w:rFonts w:hint="eastAsia" w:ascii="仿宋" w:hAnsi="仿宋" w:eastAsia="仿宋" w:cs="仿宋"/>
          <w:b w:val="0"/>
          <w:color w:val="000000" w:themeColor="text1"/>
          <w:sz w:val="24"/>
          <w:szCs w:val="24"/>
          <w:highlight w:val="none"/>
          <w14:textFill>
            <w14:solidFill>
              <w14:schemeClr w14:val="tx1"/>
            </w14:solidFill>
          </w14:textFill>
        </w:rPr>
        <w:t>5、本合同总价需包含完成本项目所必须的全部费用。（产品如涉及专利等方面问题，应按国家相关规定取得授权并确保不发生纠纷，乙方须承担相关费用，如产生纠纷由乙方承担全部责任。）</w:t>
      </w:r>
      <w:bookmarkEnd w:id="16"/>
    </w:p>
    <w:p w14:paraId="5F4F2E8E">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jc w:val="both"/>
        <w:rPr>
          <w:rFonts w:hint="eastAsia" w:ascii="仿宋" w:hAnsi="仿宋" w:eastAsia="仿宋" w:cs="仿宋"/>
          <w:color w:val="000000" w:themeColor="text1"/>
          <w:sz w:val="24"/>
          <w:szCs w:val="24"/>
          <w:highlight w:val="none"/>
          <w14:textFill>
            <w14:solidFill>
              <w14:schemeClr w14:val="tx1"/>
            </w14:solidFill>
          </w14:textFill>
        </w:rPr>
      </w:pPr>
      <w:bookmarkStart w:id="17" w:name="_Toc11403"/>
      <w:r>
        <w:rPr>
          <w:rFonts w:hint="eastAsia" w:ascii="仿宋" w:hAnsi="仿宋" w:eastAsia="仿宋" w:cs="仿宋"/>
          <w:color w:val="000000" w:themeColor="text1"/>
          <w:sz w:val="24"/>
          <w:szCs w:val="24"/>
          <w:highlight w:val="none"/>
          <w14:textFill>
            <w14:solidFill>
              <w14:schemeClr w14:val="tx1"/>
            </w14:solidFill>
          </w14:textFill>
        </w:rPr>
        <w:t>第三条 履约保证金</w:t>
      </w:r>
    </w:p>
    <w:p w14:paraId="64E519CD">
      <w:pPr>
        <w:spacing w:line="360" w:lineRule="auto"/>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1、缴纳要求：乙方应在本合同签订前，按本合同总价的 3% 向甲方足额缴纳履约保证金，保证金金额为人民币大写：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，小写：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086F8CA2">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2、缴纳方式：乙方可选择以下任意一种合法合规方式缴纳，缴纳凭证需提交甲方备案：</w:t>
      </w:r>
    </w:p>
    <w:p w14:paraId="372CB8DC">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（1）银行转账：乙方将保证金转入甲方指定账户，转账时注明 “XX 项目履约保证金”；</w:t>
      </w:r>
    </w:p>
    <w:p w14:paraId="6C54ADA0">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（2）支票 / 汇票 / 本票：乙方交付有效足额的银行支票、商业汇票或银行本票，甲方核实无误后出具收款凭证；</w:t>
      </w:r>
    </w:p>
    <w:p w14:paraId="658CD1D8">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（3）保函 / 保险：乙方提供具备相应资质的金融机构或保险公司出具的履约保函 / 履约保险保单，保函 / 保单有效期需覆盖本合同履约期限及质量保证期，条款需经甲方审核确认。</w:t>
      </w:r>
    </w:p>
    <w:p w14:paraId="2E343B82">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3、缴纳时限：乙方应在收到甲方签约通知后至本合同签订前完成缴纳，逾期未足额缴纳的，甲方有权拒绝签订本合同，并追究乙方缔约过失责任。</w:t>
      </w:r>
    </w:p>
    <w:p w14:paraId="19AEB1AA">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4、缴纳保证金退还：</w:t>
      </w:r>
    </w:p>
    <w:p w14:paraId="761AC0CF">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（1）本合同项下货物经甲方终验合格，且乙方无任何违约情形的，乙方可向甲方提交书面退还申请及相关证明材料；</w:t>
      </w:r>
    </w:p>
    <w:p w14:paraId="409BFC4B">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（2）甲方在收到完整材料后 15 个工作日内，按乙方原缴纳方式无息退还（保函 / 保险方式的，协助乙方办理注销手续）；</w:t>
      </w:r>
    </w:p>
    <w:p w14:paraId="009FD831">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（3）若乙方存在本合同约定的违约情形，甲方有权从保证金中直接扣除违约金、赔偿金等款项，不足部分有权向乙方追偿，剩余保证金无息退还。</w:t>
      </w:r>
    </w:p>
    <w:p w14:paraId="1B84F641">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第</w:t>
      </w:r>
      <w:r>
        <w:rPr>
          <w:rFonts w:hint="eastAsia" w:ascii="仿宋" w:hAnsi="仿宋" w:eastAsia="仿宋" w:cs="仿宋"/>
          <w:color w:val="000000" w:themeColor="text1"/>
          <w:sz w:val="24"/>
          <w:szCs w:val="24"/>
          <w:highlight w:val="none"/>
          <w:lang w:val="en-US" w:eastAsia="zh-CN"/>
          <w14:textFill>
            <w14:solidFill>
              <w14:schemeClr w14:val="tx1"/>
            </w14:solidFill>
          </w14:textFill>
        </w:rPr>
        <w:t>四</w:t>
      </w:r>
      <w:r>
        <w:rPr>
          <w:rFonts w:hint="eastAsia" w:ascii="仿宋" w:hAnsi="仿宋" w:eastAsia="仿宋" w:cs="仿宋"/>
          <w:color w:val="000000" w:themeColor="text1"/>
          <w:sz w:val="24"/>
          <w:szCs w:val="24"/>
          <w:highlight w:val="none"/>
          <w14:textFill>
            <w14:solidFill>
              <w14:schemeClr w14:val="tx1"/>
            </w14:solidFill>
          </w14:textFill>
        </w:rPr>
        <w:t>条 货款支付</w:t>
      </w:r>
      <w:bookmarkEnd w:id="17"/>
    </w:p>
    <w:p w14:paraId="15499075">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outlineLvl w:val="1"/>
        <w:rPr>
          <w:rFonts w:hint="eastAsia" w:ascii="仿宋" w:hAnsi="仿宋" w:eastAsia="仿宋" w:cs="仿宋"/>
          <w:color w:val="000000" w:themeColor="text1"/>
          <w:sz w:val="24"/>
          <w:szCs w:val="24"/>
          <w:highlight w:val="none"/>
          <w:lang w:val="en-US" w:eastAsia="zh-CN"/>
          <w14:textFill>
            <w14:solidFill>
              <w14:schemeClr w14:val="tx1"/>
            </w14:solidFill>
          </w14:textFill>
        </w:rPr>
      </w:pPr>
      <w:bookmarkStart w:id="18" w:name="_Toc26850"/>
      <w:r>
        <w:rPr>
          <w:rFonts w:hint="eastAsia" w:ascii="仿宋" w:hAnsi="仿宋" w:eastAsia="仿宋" w:cs="仿宋"/>
          <w:color w:val="000000" w:themeColor="text1"/>
          <w:sz w:val="24"/>
          <w:szCs w:val="24"/>
          <w:highlight w:val="none"/>
          <w:lang w:val="en-US" w:eastAsia="zh-CN"/>
          <w14:textFill>
            <w14:solidFill>
              <w14:schemeClr w14:val="tx1"/>
            </w14:solidFill>
          </w14:textFill>
        </w:rPr>
        <w:t>执行招标文件内要求</w:t>
      </w:r>
    </w:p>
    <w:p w14:paraId="6857F00E">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第</w:t>
      </w:r>
      <w:r>
        <w:rPr>
          <w:rFonts w:hint="eastAsia" w:ascii="仿宋" w:hAnsi="仿宋" w:eastAsia="仿宋" w:cs="仿宋"/>
          <w:b/>
          <w:bCs/>
          <w:color w:val="000000" w:themeColor="text1"/>
          <w:kern w:val="0"/>
          <w:sz w:val="24"/>
          <w:szCs w:val="24"/>
          <w:highlight w:val="none"/>
          <w:lang w:val="en-US" w:eastAsia="zh-CN"/>
          <w14:textFill>
            <w14:solidFill>
              <w14:schemeClr w14:val="tx1"/>
            </w14:solidFill>
          </w14:textFill>
        </w:rPr>
        <w:t>五</w:t>
      </w:r>
      <w:r>
        <w:rPr>
          <w:rFonts w:hint="eastAsia" w:ascii="仿宋" w:hAnsi="仿宋" w:eastAsia="仿宋" w:cs="仿宋"/>
          <w:b/>
          <w:bCs/>
          <w:color w:val="000000" w:themeColor="text1"/>
          <w:kern w:val="0"/>
          <w:sz w:val="24"/>
          <w:szCs w:val="24"/>
          <w:highlight w:val="none"/>
          <w14:textFill>
            <w14:solidFill>
              <w14:schemeClr w14:val="tx1"/>
            </w14:solidFill>
          </w14:textFill>
        </w:rPr>
        <w:t xml:space="preserve">条 </w:t>
      </w:r>
      <w:r>
        <w:rPr>
          <w:rFonts w:hint="eastAsia" w:ascii="仿宋" w:hAnsi="仿宋" w:eastAsia="仿宋" w:cs="仿宋"/>
          <w:b/>
          <w:bCs/>
          <w:color w:val="000000" w:themeColor="text1"/>
          <w:kern w:val="0"/>
          <w:sz w:val="24"/>
          <w:szCs w:val="24"/>
          <w:highlight w:val="none"/>
          <w:lang w:eastAsia="zh-CN"/>
          <w14:textFill>
            <w14:solidFill>
              <w14:schemeClr w14:val="tx1"/>
            </w14:solidFill>
          </w14:textFill>
        </w:rPr>
        <w:t>交货期</w:t>
      </w:r>
      <w:r>
        <w:rPr>
          <w:rFonts w:hint="eastAsia" w:ascii="仿宋" w:hAnsi="仿宋" w:eastAsia="仿宋" w:cs="仿宋"/>
          <w:b/>
          <w:bCs/>
          <w:color w:val="000000" w:themeColor="text1"/>
          <w:kern w:val="0"/>
          <w:sz w:val="24"/>
          <w:szCs w:val="24"/>
          <w:highlight w:val="none"/>
          <w14:textFill>
            <w14:solidFill>
              <w14:schemeClr w14:val="tx1"/>
            </w14:solidFill>
          </w14:textFill>
        </w:rPr>
        <w:t>与地点</w:t>
      </w:r>
      <w:bookmarkEnd w:id="18"/>
    </w:p>
    <w:p w14:paraId="0F5ED638">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交货期</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执行招标文件内要求</w:t>
      </w:r>
    </w:p>
    <w:p w14:paraId="33950F6C">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w:t>
      </w:r>
      <w:r>
        <w:rPr>
          <w:rFonts w:hint="eastAsia" w:ascii="仿宋" w:hAnsi="仿宋" w:eastAsia="仿宋" w:cs="仿宋"/>
          <w:color w:val="000000" w:themeColor="text1"/>
          <w:sz w:val="24"/>
          <w:szCs w:val="24"/>
          <w:highlight w:val="none"/>
          <w:lang w:eastAsia="zh-CN"/>
          <w14:textFill>
            <w14:solidFill>
              <w14:schemeClr w14:val="tx1"/>
            </w14:solidFill>
          </w14:textFill>
        </w:rPr>
        <w:t>乙方</w:t>
      </w:r>
      <w:bookmarkStart w:id="29" w:name="_GoBack"/>
      <w:bookmarkEnd w:id="29"/>
      <w:r>
        <w:rPr>
          <w:rFonts w:hint="eastAsia" w:ascii="仿宋" w:hAnsi="仿宋" w:eastAsia="仿宋" w:cs="仿宋"/>
          <w:color w:val="000000" w:themeColor="text1"/>
          <w:sz w:val="24"/>
          <w:szCs w:val="24"/>
          <w:highlight w:val="none"/>
          <w14:textFill>
            <w14:solidFill>
              <w14:schemeClr w14:val="tx1"/>
            </w14:solidFill>
          </w14:textFill>
        </w:rPr>
        <w:t>未征得采购人同意和谅解而单方面延迟履行合同期限，将按违约终止合同。</w:t>
      </w:r>
    </w:p>
    <w:p w14:paraId="2B8965BB">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1.2采购人遇到可能妨碍按时完工的情况，应当及时以书面形式通知采购人，说明原由、拖延的期限等；采购人在收到通知后，尽快进行情况评估并确定是否通过修改合同，酌情延长服务时间或者通过协商加收误期赔偿金。</w:t>
      </w:r>
    </w:p>
    <w:p w14:paraId="28BCAA61">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1.3如在供货过程中出现不可抗力得原因影响供货时间的，</w:t>
      </w:r>
      <w:r>
        <w:rPr>
          <w:rFonts w:hint="eastAsia" w:ascii="仿宋" w:hAnsi="仿宋" w:eastAsia="仿宋" w:cs="仿宋"/>
          <w:color w:val="000000" w:themeColor="text1"/>
          <w:sz w:val="24"/>
          <w:szCs w:val="24"/>
          <w:highlight w:val="none"/>
          <w:lang w:eastAsia="zh-CN"/>
          <w14:textFill>
            <w14:solidFill>
              <w14:schemeClr w14:val="tx1"/>
            </w14:solidFill>
          </w14:textFill>
        </w:rPr>
        <w:t>交货期</w:t>
      </w:r>
      <w:r>
        <w:rPr>
          <w:rFonts w:hint="eastAsia" w:ascii="仿宋" w:hAnsi="仿宋" w:eastAsia="仿宋" w:cs="仿宋"/>
          <w:color w:val="000000" w:themeColor="text1"/>
          <w:sz w:val="24"/>
          <w:szCs w:val="24"/>
          <w:highlight w:val="none"/>
          <w14:textFill>
            <w14:solidFill>
              <w14:schemeClr w14:val="tx1"/>
            </w14:solidFill>
          </w14:textFill>
        </w:rPr>
        <w:t>相应顺延。</w:t>
      </w:r>
    </w:p>
    <w:p w14:paraId="08B97292">
      <w:pPr>
        <w:pStyle w:val="12"/>
        <w:keepNext w:val="0"/>
        <w:keepLines w:val="0"/>
        <w:pageBreakBefore w:val="0"/>
        <w:shd w:val="clear"/>
        <w:kinsoku/>
        <w:wordWrap/>
        <w:overflowPunct/>
        <w:topLinePunct w:val="0"/>
        <w:autoSpaceDE/>
        <w:autoSpaceDN/>
        <w:bidi w:val="0"/>
        <w:adjustRightInd w:val="0"/>
        <w:snapToGrid w:val="0"/>
        <w:spacing w:line="360" w:lineRule="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地点：</w:t>
      </w: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采购人指定地点。</w:t>
      </w:r>
    </w:p>
    <w:p w14:paraId="0DF2C5C8">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9" w:name="_Toc5671"/>
      <w:r>
        <w:rPr>
          <w:rFonts w:hint="eastAsia" w:ascii="仿宋" w:hAnsi="仿宋" w:eastAsia="仿宋" w:cs="仿宋"/>
          <w:b/>
          <w:color w:val="000000" w:themeColor="text1"/>
          <w:sz w:val="24"/>
          <w:szCs w:val="24"/>
          <w:highlight w:val="none"/>
          <w14:textFill>
            <w14:solidFill>
              <w14:schemeClr w14:val="tx1"/>
            </w14:solidFill>
          </w14:textFill>
        </w:rPr>
        <w:t>第</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六</w:t>
      </w:r>
      <w:r>
        <w:rPr>
          <w:rFonts w:hint="eastAsia" w:ascii="仿宋" w:hAnsi="仿宋" w:eastAsia="仿宋" w:cs="仿宋"/>
          <w:b/>
          <w:color w:val="000000" w:themeColor="text1"/>
          <w:sz w:val="24"/>
          <w:szCs w:val="24"/>
          <w:highlight w:val="none"/>
          <w14:textFill>
            <w14:solidFill>
              <w14:schemeClr w14:val="tx1"/>
            </w14:solidFill>
          </w14:textFill>
        </w:rPr>
        <w:t>条 质量保证</w:t>
      </w:r>
      <w:bookmarkEnd w:id="19"/>
    </w:p>
    <w:p w14:paraId="036E46E3">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1、乙方须提供全新的、未使用过的合格正品货物，完全符合合同规定的质量、规格的要求。</w:t>
      </w:r>
    </w:p>
    <w:p w14:paraId="4D206DAD">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2、乙方提供的</w:t>
      </w:r>
      <w:r>
        <w:rPr>
          <w:rFonts w:hint="eastAsia" w:ascii="仿宋" w:hAnsi="仿宋" w:eastAsia="仿宋" w:cs="仿宋"/>
          <w:color w:val="000000" w:themeColor="text1"/>
          <w:sz w:val="24"/>
          <w:szCs w:val="24"/>
          <w:highlight w:val="none"/>
          <w:lang w:val="en-US" w:eastAsia="zh-CN"/>
          <w14:textFill>
            <w14:solidFill>
              <w14:schemeClr w14:val="tx1"/>
            </w14:solidFill>
          </w14:textFill>
        </w:rPr>
        <w:t>配套资料必须是真实有效的</w:t>
      </w:r>
      <w:r>
        <w:rPr>
          <w:rFonts w:hint="eastAsia" w:ascii="仿宋" w:hAnsi="仿宋" w:eastAsia="仿宋" w:cs="仿宋"/>
          <w:color w:val="000000" w:themeColor="text1"/>
          <w:sz w:val="24"/>
          <w:szCs w:val="24"/>
          <w:highlight w:val="none"/>
          <w14:textFill>
            <w14:solidFill>
              <w14:schemeClr w14:val="tx1"/>
            </w14:solidFill>
          </w14:textFill>
        </w:rPr>
        <w:t>。</w:t>
      </w:r>
    </w:p>
    <w:p w14:paraId="51569DDC">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3、质量标准按照最新颁布的国家标准、行业标准或制造商企业标准确定，上述标准不一致的，以严格标准为准。</w:t>
      </w:r>
    </w:p>
    <w:p w14:paraId="632BCC70">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4、乙方所提供货物还应符合国家和陕西省有关安全、环保、节能之规定，“3C”认证的货物（产品）应加贴“3C”认证标志。</w:t>
      </w:r>
    </w:p>
    <w:p w14:paraId="6D52A94D">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5、货物制造质量出现问题，乙方应负责三包（包修、包换、包退），费用由乙方负担，甲方有权到乙方生产场地检查货物质量和生产进度。</w:t>
      </w:r>
    </w:p>
    <w:p w14:paraId="78E41A83">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0" w:name="_Toc7279"/>
      <w:r>
        <w:rPr>
          <w:rFonts w:hint="eastAsia" w:ascii="仿宋" w:hAnsi="仿宋" w:eastAsia="仿宋" w:cs="仿宋"/>
          <w:b/>
          <w:color w:val="000000" w:themeColor="text1"/>
          <w:sz w:val="24"/>
          <w:szCs w:val="24"/>
          <w:highlight w:val="none"/>
          <w14:textFill>
            <w14:solidFill>
              <w14:schemeClr w14:val="tx1"/>
            </w14:solidFill>
          </w14:textFill>
        </w:rPr>
        <w:t>第</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七</w:t>
      </w:r>
      <w:r>
        <w:rPr>
          <w:rFonts w:hint="eastAsia" w:ascii="仿宋" w:hAnsi="仿宋" w:eastAsia="仿宋" w:cs="仿宋"/>
          <w:b/>
          <w:color w:val="000000" w:themeColor="text1"/>
          <w:sz w:val="24"/>
          <w:szCs w:val="24"/>
          <w:highlight w:val="none"/>
          <w14:textFill>
            <w14:solidFill>
              <w14:schemeClr w14:val="tx1"/>
            </w14:solidFill>
          </w14:textFill>
        </w:rPr>
        <w:t>条 权利保证</w:t>
      </w:r>
      <w:bookmarkEnd w:id="20"/>
    </w:p>
    <w:p w14:paraId="4F2DB9DB">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1、乙方保证对其出售的货物享有合法的权利。</w:t>
      </w:r>
    </w:p>
    <w:p w14:paraId="7DEA4810">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2、乙方保证对其出售的货物上不存在任何未曾向甲方透露的担保物权，如抵押权、质押权、留置权。</w:t>
      </w:r>
    </w:p>
    <w:p w14:paraId="219BB5E0">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3、乙方保证对其出售的货物或其任何一部分没有侵犯第三方的专利权、版权、商标权或其他权利。</w:t>
      </w:r>
    </w:p>
    <w:p w14:paraId="4BFF86E2">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4、如甲方在使用该货物构成上述侵权的，则由乙方承担全部责任。</w:t>
      </w:r>
    </w:p>
    <w:p w14:paraId="411C12B1">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1" w:name="_Toc129"/>
      <w:r>
        <w:rPr>
          <w:rFonts w:hint="eastAsia" w:ascii="仿宋" w:hAnsi="仿宋" w:eastAsia="仿宋" w:cs="仿宋"/>
          <w:b/>
          <w:color w:val="000000" w:themeColor="text1"/>
          <w:sz w:val="24"/>
          <w:szCs w:val="24"/>
          <w:highlight w:val="none"/>
          <w14:textFill>
            <w14:solidFill>
              <w14:schemeClr w14:val="tx1"/>
            </w14:solidFill>
          </w14:textFill>
        </w:rPr>
        <w:t>第</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八</w:t>
      </w:r>
      <w:r>
        <w:rPr>
          <w:rFonts w:hint="eastAsia" w:ascii="仿宋" w:hAnsi="仿宋" w:eastAsia="仿宋" w:cs="仿宋"/>
          <w:b/>
          <w:color w:val="000000" w:themeColor="text1"/>
          <w:sz w:val="24"/>
          <w:szCs w:val="24"/>
          <w:highlight w:val="none"/>
          <w14:textFill>
            <w14:solidFill>
              <w14:schemeClr w14:val="tx1"/>
            </w14:solidFill>
          </w14:textFill>
        </w:rPr>
        <w:t>条 包装要求与运输方式</w:t>
      </w:r>
      <w:bookmarkEnd w:id="21"/>
      <w:r>
        <w:rPr>
          <w:rFonts w:hint="eastAsia" w:ascii="仿宋" w:hAnsi="仿宋" w:eastAsia="仿宋" w:cs="仿宋"/>
          <w:b/>
          <w:color w:val="000000" w:themeColor="text1"/>
          <w:sz w:val="24"/>
          <w:szCs w:val="24"/>
          <w:highlight w:val="none"/>
          <w14:textFill>
            <w14:solidFill>
              <w14:schemeClr w14:val="tx1"/>
            </w14:solidFill>
          </w14:textFill>
        </w:rPr>
        <w:t xml:space="preserve"> </w:t>
      </w:r>
      <w:r>
        <w:rPr>
          <w:rFonts w:hint="eastAsia" w:ascii="仿宋" w:hAnsi="仿宋" w:eastAsia="仿宋" w:cs="仿宋"/>
          <w:b/>
          <w:color w:val="000000" w:themeColor="text1"/>
          <w:sz w:val="24"/>
          <w:szCs w:val="24"/>
          <w:highlight w:val="none"/>
          <w14:textFill>
            <w14:solidFill>
              <w14:schemeClr w14:val="tx1"/>
            </w14:solidFill>
          </w14:textFill>
        </w:rPr>
        <w:t xml:space="preserve"> </w:t>
      </w:r>
    </w:p>
    <w:p w14:paraId="183AE1F3">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1、除合同另有规定外，乙方提供的全部货物均应按标准保护措施进行包装，该包装应适应于远距离运输、防潮、防震、防锈和防野蛮装卸，以确保货物安全运抵指定地点。</w:t>
      </w:r>
    </w:p>
    <w:p w14:paraId="3A64618B">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2、每一包装单元应附详细的装箱单和质量合格证。</w:t>
      </w:r>
    </w:p>
    <w:p w14:paraId="719BEDF1">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3、货物（产品）运输方式：</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w:t>
      </w:r>
    </w:p>
    <w:p w14:paraId="53E75678">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4、乙方负责货物（产品）运输，货物运输的合理损耗及计算方法。</w:t>
      </w:r>
    </w:p>
    <w:p w14:paraId="7B10401C">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2" w:name="_Toc11592"/>
      <w:r>
        <w:rPr>
          <w:rFonts w:hint="eastAsia" w:ascii="仿宋" w:hAnsi="仿宋" w:eastAsia="仿宋" w:cs="仿宋"/>
          <w:b/>
          <w:color w:val="000000" w:themeColor="text1"/>
          <w:sz w:val="24"/>
          <w:szCs w:val="24"/>
          <w:highlight w:val="none"/>
          <w14:textFill>
            <w14:solidFill>
              <w14:schemeClr w14:val="tx1"/>
            </w14:solidFill>
          </w14:textFill>
        </w:rPr>
        <w:t>第</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九</w:t>
      </w:r>
      <w:r>
        <w:rPr>
          <w:rFonts w:hint="eastAsia" w:ascii="仿宋" w:hAnsi="仿宋" w:eastAsia="仿宋" w:cs="仿宋"/>
          <w:b/>
          <w:color w:val="000000" w:themeColor="text1"/>
          <w:sz w:val="24"/>
          <w:szCs w:val="24"/>
          <w:highlight w:val="none"/>
          <w14:textFill>
            <w14:solidFill>
              <w14:schemeClr w14:val="tx1"/>
            </w14:solidFill>
          </w14:textFill>
        </w:rPr>
        <w:t>条 验收</w:t>
      </w:r>
      <w:bookmarkEnd w:id="22"/>
    </w:p>
    <w:p w14:paraId="2C644925">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1、货物验收由甲方组织，乙方配合，并按下列程序进行：</w:t>
      </w:r>
    </w:p>
    <w:p w14:paraId="71421845">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（1）交货验收时，乙方须提供设备清单</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检测报告</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计量认证、3C认证</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农业机械推广鉴定证书</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、调试记录、原厂合格证、配件、随机工具、用户使用手册（产品使用说明书）、保修卡等资料交付给甲方；</w:t>
      </w:r>
    </w:p>
    <w:p w14:paraId="2710FA5E">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（2）到货验收 ：货物到达后，按合同第一条款的货物清单和装箱单经行逐一核对，同时检查货物外观，是否有划痕或破损的，并做好相应记录；</w:t>
      </w:r>
    </w:p>
    <w:p w14:paraId="06BB6B47">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（3）货物初验：乙方应在货物到货之日起，</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日内全部完成安装调试完毕；乙方安装调试完毕后</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日内完成初步验收；初步验收合格后，进入试用期，开展为期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15 </w:t>
      </w:r>
      <w:r>
        <w:rPr>
          <w:rFonts w:hint="eastAsia" w:ascii="仿宋" w:hAnsi="仿宋" w:eastAsia="仿宋" w:cs="仿宋"/>
          <w:color w:val="000000" w:themeColor="text1"/>
          <w:sz w:val="24"/>
          <w:szCs w:val="24"/>
          <w:highlight w:val="none"/>
          <w14:textFill>
            <w14:solidFill>
              <w14:schemeClr w14:val="tx1"/>
            </w14:solidFill>
          </w14:textFill>
        </w:rPr>
        <w:t>天的试运行；试用期间发生重大质量问题，修复后试用期相应顺延；</w:t>
      </w:r>
    </w:p>
    <w:p w14:paraId="21781BF1">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（4）货物终验：试用期结束后</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日内完成最终验收；</w:t>
      </w:r>
    </w:p>
    <w:p w14:paraId="66D6CBC8">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（5）货物和相关配套质量验收合格，双方签署质量验收报告。</w:t>
      </w:r>
    </w:p>
    <w:p w14:paraId="78EB5CA7">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2、货物验收依据：</w:t>
      </w:r>
    </w:p>
    <w:p w14:paraId="78BF8D04">
      <w:pPr>
        <w:pStyle w:val="4"/>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（1）采购文件；</w:t>
      </w:r>
    </w:p>
    <w:p w14:paraId="45111751">
      <w:pPr>
        <w:pStyle w:val="4"/>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（2）投标文件；</w:t>
      </w:r>
    </w:p>
    <w:p w14:paraId="355617F2">
      <w:pPr>
        <w:pStyle w:val="4"/>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（3）采购合同及补充协议；</w:t>
      </w:r>
    </w:p>
    <w:p w14:paraId="110EC2D0">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（4）货物（产品）合格的检测报告。</w:t>
      </w:r>
    </w:p>
    <w:p w14:paraId="1E6CCBE3">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3、货物验收时发现问题的处理办法：</w:t>
      </w:r>
    </w:p>
    <w:p w14:paraId="72D4C32F">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（1）乙方提供不符合采购文件和本合同规定的货物（产品），甲方有权拒绝接受；</w:t>
      </w:r>
    </w:p>
    <w:p w14:paraId="5D4529EF">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42DC0EF5">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（3）如货物经乙方</w:t>
      </w:r>
      <w:r>
        <w:rPr>
          <w:rFonts w:hint="eastAsia" w:ascii="仿宋" w:hAnsi="仿宋" w:eastAsia="仿宋" w:cs="仿宋"/>
          <w:color w:val="000000" w:themeColor="text1"/>
          <w:sz w:val="24"/>
          <w:szCs w:val="24"/>
          <w:highlight w:val="none"/>
          <w:u w:val="single"/>
          <w14:textFill>
            <w14:solidFill>
              <w14:schemeClr w14:val="tx1"/>
            </w14:solidFill>
          </w14:textFill>
        </w:rPr>
        <w:t xml:space="preserve"> 2 </w:t>
      </w:r>
      <w:r>
        <w:rPr>
          <w:rFonts w:hint="eastAsia" w:ascii="仿宋" w:hAnsi="仿宋" w:eastAsia="仿宋" w:cs="仿宋"/>
          <w:color w:val="000000" w:themeColor="text1"/>
          <w:sz w:val="24"/>
          <w:szCs w:val="24"/>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015B88CA">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4）货物安装完成</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14:textFill>
            <w14:solidFill>
              <w14:schemeClr w14:val="tx1"/>
            </w14:solidFill>
          </w14:textFill>
        </w:rPr>
        <w:t>15</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日后，且具备验收条件，乙方提出验收，而甲方无故不进行验收工作并已使用货物的，视同为已安装调试完成并验收合格。</w:t>
      </w:r>
    </w:p>
    <w:p w14:paraId="1860B78D">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（5）乙方不能完整交付货物及本条第一款规定的单证和工具的，必须负责补齐，否则视为未按合同约定交货；</w:t>
      </w:r>
    </w:p>
    <w:p w14:paraId="4D250BC4">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（6）超出合理磅差的处理方法：</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w:t>
      </w:r>
    </w:p>
    <w:p w14:paraId="02532AAB">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3" w:name="_Toc32307"/>
      <w:r>
        <w:rPr>
          <w:rFonts w:hint="eastAsia" w:ascii="仿宋" w:hAnsi="仿宋" w:eastAsia="仿宋" w:cs="仿宋"/>
          <w:b/>
          <w:color w:val="000000" w:themeColor="text1"/>
          <w:sz w:val="24"/>
          <w:szCs w:val="24"/>
          <w:highlight w:val="none"/>
          <w14:textFill>
            <w14:solidFill>
              <w14:schemeClr w14:val="tx1"/>
            </w14:solidFill>
          </w14:textFill>
        </w:rPr>
        <w:t>第</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十</w:t>
      </w:r>
      <w:r>
        <w:rPr>
          <w:rFonts w:hint="eastAsia" w:ascii="仿宋" w:hAnsi="仿宋" w:eastAsia="仿宋" w:cs="仿宋"/>
          <w:b/>
          <w:color w:val="000000" w:themeColor="text1"/>
          <w:sz w:val="24"/>
          <w:szCs w:val="24"/>
          <w:highlight w:val="none"/>
          <w14:textFill>
            <w14:solidFill>
              <w14:schemeClr w14:val="tx1"/>
            </w14:solidFill>
          </w14:textFill>
        </w:rPr>
        <w:t>条 售后服务</w:t>
      </w:r>
      <w:bookmarkEnd w:id="23"/>
    </w:p>
    <w:p w14:paraId="25E016B8">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乙方应按照国家有关法律法规和“三包”规定以及采购文件要求和投标文件的“服务承诺”提供服务，并提供</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highlight w:val="none"/>
          <w14:textFill>
            <w14:solidFill>
              <w14:schemeClr w14:val="tx1"/>
            </w14:solidFill>
          </w14:textFill>
        </w:rPr>
        <w:t>年</w:t>
      </w:r>
      <w:r>
        <w:rPr>
          <w:rFonts w:hint="eastAsia" w:ascii="仿宋" w:hAnsi="仿宋" w:eastAsia="仿宋" w:cs="仿宋"/>
          <w:color w:val="000000" w:themeColor="text1"/>
          <w:kern w:val="0"/>
          <w:sz w:val="24"/>
          <w:szCs w:val="24"/>
          <w:highlight w:val="none"/>
          <w:lang w:eastAsia="zh-CN"/>
          <w14:textFill>
            <w14:solidFill>
              <w14:schemeClr w14:val="tx1"/>
            </w14:solidFill>
          </w14:textFill>
        </w:rPr>
        <w:t>（</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按照投标文件承诺执行，不得少于2年</w:t>
      </w:r>
      <w:r>
        <w:rPr>
          <w:rFonts w:hint="eastAsia" w:ascii="仿宋" w:hAnsi="仿宋" w:eastAsia="仿宋" w:cs="仿宋"/>
          <w:color w:val="000000" w:themeColor="text1"/>
          <w:kern w:val="0"/>
          <w:sz w:val="24"/>
          <w:szCs w:val="24"/>
          <w:highlight w:val="none"/>
          <w:lang w:eastAsia="zh-CN"/>
          <w14:textFill>
            <w14:solidFill>
              <w14:schemeClr w14:val="tx1"/>
            </w14:solidFill>
          </w14:textFill>
        </w:rPr>
        <w:t>）</w:t>
      </w:r>
      <w:r>
        <w:rPr>
          <w:rFonts w:hint="eastAsia" w:ascii="仿宋" w:hAnsi="仿宋" w:eastAsia="仿宋" w:cs="仿宋"/>
          <w:color w:val="000000" w:themeColor="text1"/>
          <w:kern w:val="0"/>
          <w:sz w:val="24"/>
          <w:szCs w:val="24"/>
          <w:highlight w:val="none"/>
          <w14:textFill>
            <w14:solidFill>
              <w14:schemeClr w14:val="tx1"/>
            </w14:solidFill>
          </w14:textFill>
        </w:rPr>
        <w:t>免费售后和维护服务及</w:t>
      </w:r>
      <w:r>
        <w:rPr>
          <w:rFonts w:hint="eastAsia" w:ascii="仿宋" w:hAnsi="仿宋" w:eastAsia="仿宋" w:cs="仿宋"/>
          <w:color w:val="000000" w:themeColor="text1"/>
          <w:sz w:val="24"/>
          <w:szCs w:val="24"/>
          <w:highlight w:val="none"/>
          <w14:textFill>
            <w14:solidFill>
              <w14:schemeClr w14:val="tx1"/>
            </w14:solidFill>
          </w14:textFill>
        </w:rPr>
        <w:t>软件终身免费升级</w:t>
      </w:r>
      <w:r>
        <w:rPr>
          <w:rFonts w:hint="eastAsia" w:ascii="仿宋" w:hAnsi="仿宋" w:eastAsia="仿宋" w:cs="仿宋"/>
          <w:color w:val="000000" w:themeColor="text1"/>
          <w:kern w:val="0"/>
          <w:sz w:val="24"/>
          <w:szCs w:val="24"/>
          <w:highlight w:val="none"/>
          <w14:textFill>
            <w14:solidFill>
              <w14:schemeClr w14:val="tx1"/>
            </w14:solidFill>
          </w14:textFill>
        </w:rPr>
        <w:t>。</w:t>
      </w:r>
    </w:p>
    <w:p w14:paraId="227F85E1">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4" w:name="_Toc11515"/>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一</w:t>
      </w:r>
      <w:r>
        <w:rPr>
          <w:rFonts w:hint="eastAsia" w:ascii="仿宋" w:hAnsi="仿宋" w:eastAsia="仿宋" w:cs="仿宋"/>
          <w:b/>
          <w:color w:val="000000" w:themeColor="text1"/>
          <w:sz w:val="24"/>
          <w:szCs w:val="24"/>
          <w:highlight w:val="none"/>
          <w14:textFill>
            <w14:solidFill>
              <w14:schemeClr w14:val="tx1"/>
            </w14:solidFill>
          </w14:textFill>
        </w:rPr>
        <w:t>条 违约责任</w:t>
      </w:r>
      <w:bookmarkEnd w:id="24"/>
    </w:p>
    <w:p w14:paraId="240CDB86">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1、甲方违约责任</w:t>
      </w:r>
    </w:p>
    <w:p w14:paraId="3EB2BA8A">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（1）甲方无正当理由拒收货物的，甲方应偿付合同总价</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5 </w:t>
      </w:r>
      <w:r>
        <w:rPr>
          <w:rFonts w:hint="eastAsia" w:ascii="仿宋" w:hAnsi="仿宋" w:eastAsia="仿宋" w:cs="仿宋"/>
          <w:color w:val="000000" w:themeColor="text1"/>
          <w:sz w:val="24"/>
          <w:szCs w:val="24"/>
          <w:highlight w:val="none"/>
          <w14:textFill>
            <w14:solidFill>
              <w14:schemeClr w14:val="tx1"/>
            </w14:solidFill>
          </w14:textFill>
        </w:rPr>
        <w:t>%的违约金；</w:t>
      </w:r>
    </w:p>
    <w:p w14:paraId="5733B7EC">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（2）甲方逾期支付货款的，除应及时付足货款外，应向乙方每天支付欠款总额</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0.5  </w:t>
      </w:r>
      <w:r>
        <w:rPr>
          <w:rFonts w:hint="eastAsia" w:ascii="仿宋" w:hAnsi="仿宋" w:eastAsia="仿宋" w:cs="仿宋"/>
          <w:color w:val="000000" w:themeColor="text1"/>
          <w:sz w:val="24"/>
          <w:szCs w:val="24"/>
          <w:highlight w:val="none"/>
          <w14:textFill>
            <w14:solidFill>
              <w14:schemeClr w14:val="tx1"/>
            </w14:solidFill>
          </w14:textFill>
        </w:rPr>
        <w:t>‰的滞纳金；但累计滞纳金总额不超过欠款总额的</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5  </w:t>
      </w:r>
      <w:r>
        <w:rPr>
          <w:rFonts w:hint="eastAsia" w:ascii="仿宋" w:hAnsi="仿宋" w:eastAsia="仿宋" w:cs="仿宋"/>
          <w:color w:val="000000" w:themeColor="text1"/>
          <w:sz w:val="24"/>
          <w:szCs w:val="24"/>
          <w:highlight w:val="none"/>
          <w14:textFill>
            <w14:solidFill>
              <w14:schemeClr w14:val="tx1"/>
            </w14:solidFill>
          </w14:textFill>
        </w:rPr>
        <w:t>%。</w:t>
      </w:r>
    </w:p>
    <w:p w14:paraId="60DE4F7C">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2、乙方违约责任</w:t>
      </w:r>
    </w:p>
    <w:p w14:paraId="688156D8">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0" w:firstLineChars="100"/>
        <w:jc w:val="lef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（1）如乙方不能交付货物，甲方有权扣留全部履约保证金；同时乙方应向甲方支付合同总价</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10 </w:t>
      </w:r>
      <w:r>
        <w:rPr>
          <w:rFonts w:hint="eastAsia" w:ascii="仿宋" w:hAnsi="仿宋" w:eastAsia="仿宋" w:cs="仿宋"/>
          <w:color w:val="000000" w:themeColor="text1"/>
          <w:kern w:val="0"/>
          <w:sz w:val="24"/>
          <w:szCs w:val="24"/>
          <w:highlight w:val="none"/>
          <w14:textFill>
            <w14:solidFill>
              <w14:schemeClr w14:val="tx1"/>
            </w14:solidFill>
          </w14:textFill>
        </w:rPr>
        <w:t>％的违约金；</w:t>
      </w:r>
    </w:p>
    <w:p w14:paraId="4F8F5747">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0" w:firstLineChars="100"/>
        <w:jc w:val="lef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（2）乙方逾期交付货物的，每逾期1天，乙方向甲方偿付逾期交货部分货款总额的</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0.5  </w:t>
      </w:r>
      <w:r>
        <w:rPr>
          <w:rFonts w:hint="eastAsia" w:ascii="仿宋" w:hAnsi="仿宋" w:eastAsia="仿宋" w:cs="仿宋"/>
          <w:color w:val="000000" w:themeColor="text1"/>
          <w:kern w:val="0"/>
          <w:sz w:val="24"/>
          <w:szCs w:val="24"/>
          <w:highlight w:val="none"/>
          <w14:textFill>
            <w14:solidFill>
              <w14:schemeClr w14:val="tx1"/>
            </w14:solidFill>
          </w14:textFill>
        </w:rPr>
        <w:t>‰的滞纳金。如乙方逾期交货达</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15 </w:t>
      </w:r>
      <w:r>
        <w:rPr>
          <w:rFonts w:hint="eastAsia" w:ascii="仿宋" w:hAnsi="仿宋" w:eastAsia="仿宋" w:cs="仿宋"/>
          <w:color w:val="000000" w:themeColor="text1"/>
          <w:kern w:val="0"/>
          <w:sz w:val="24"/>
          <w:szCs w:val="24"/>
          <w:highlight w:val="none"/>
          <w14:textFill>
            <w14:solidFill>
              <w14:schemeClr w14:val="tx1"/>
            </w14:solidFill>
          </w14:textFill>
        </w:rPr>
        <w:t xml:space="preserve">天，甲方有权解除合同，解除合同的通知自到达乙方时生效；但甲方书面同意延迟或因甲方原因导致延迟的，乙方不承担违约责任。 </w:t>
      </w:r>
    </w:p>
    <w:p w14:paraId="454773C8">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0" w:firstLineChars="100"/>
        <w:jc w:val="lef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（3）乙方所交付的货物品种、型号、规格不符合合同规定的，甲方有权拒收。甲方拒收的，乙方应向甲方支付货款总额</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10 </w:t>
      </w:r>
      <w:r>
        <w:rPr>
          <w:rFonts w:hint="eastAsia" w:ascii="仿宋" w:hAnsi="仿宋" w:eastAsia="仿宋" w:cs="仿宋"/>
          <w:color w:val="000000" w:themeColor="text1"/>
          <w:kern w:val="0"/>
          <w:sz w:val="24"/>
          <w:szCs w:val="24"/>
          <w:highlight w:val="none"/>
          <w:u w:val="none"/>
          <w14:textFill>
            <w14:solidFill>
              <w14:schemeClr w14:val="tx1"/>
            </w14:solidFill>
          </w14:textFill>
        </w:rPr>
        <w:t>%</w:t>
      </w:r>
      <w:r>
        <w:rPr>
          <w:rFonts w:hint="eastAsia" w:ascii="仿宋" w:hAnsi="仿宋" w:eastAsia="仿宋" w:cs="仿宋"/>
          <w:color w:val="000000" w:themeColor="text1"/>
          <w:kern w:val="0"/>
          <w:sz w:val="24"/>
          <w:szCs w:val="24"/>
          <w:highlight w:val="none"/>
          <w14:textFill>
            <w14:solidFill>
              <w14:schemeClr w14:val="tx1"/>
            </w14:solidFill>
          </w14:textFill>
        </w:rPr>
        <w:t>的违约金；</w:t>
      </w:r>
    </w:p>
    <w:p w14:paraId="61CAB436">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（4）乙方货物质量不符合本合同规定标准的，则视为乙方没有按时交货而违约，乙方须在</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7</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天内无条件更换合格的货物，如逾期不能更换合格的货物，甲方有权终止本合同，乙方应另向甲方支付货款总额的</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10 </w:t>
      </w:r>
      <w:r>
        <w:rPr>
          <w:rFonts w:hint="eastAsia" w:ascii="仿宋" w:hAnsi="仿宋" w:eastAsia="仿宋" w:cs="仿宋"/>
          <w:color w:val="000000" w:themeColor="text1"/>
          <w:sz w:val="24"/>
          <w:szCs w:val="24"/>
          <w:highlight w:val="none"/>
          <w14:textFill>
            <w14:solidFill>
              <w14:schemeClr w14:val="tx1"/>
            </w14:solidFill>
          </w14:textFill>
        </w:rPr>
        <w:t>%的违约金；</w:t>
      </w:r>
    </w:p>
    <w:p w14:paraId="3B344040">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（5）在乙方承诺的或国家规定的质量保证期内（取两者中最长的期限），如经乙方</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2  </w:t>
      </w:r>
      <w:r>
        <w:rPr>
          <w:rFonts w:hint="eastAsia" w:ascii="仿宋" w:hAnsi="仿宋" w:eastAsia="仿宋" w:cs="仿宋"/>
          <w:color w:val="000000" w:themeColor="text1"/>
          <w:kern w:val="0"/>
          <w:sz w:val="24"/>
          <w:szCs w:val="24"/>
          <w:highlight w:val="none"/>
          <w14:textFill>
            <w14:solidFill>
              <w14:schemeClr w14:val="tx1"/>
            </w14:solidFill>
          </w14:textFill>
        </w:rPr>
        <w:t>次维修或更换，货物仍不能达到合同约定的质量标准，甲方有权退货，乙方应退回全部货款，并按第3款处理，同时，乙方还须赔偿甲方因此遭受的损失；</w:t>
      </w:r>
    </w:p>
    <w:p w14:paraId="384B3C3F">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（6）乙方未按本合同第三</w:t>
      </w:r>
      <w:r>
        <w:rPr>
          <w:rFonts w:hint="eastAsia" w:ascii="仿宋" w:hAnsi="仿宋" w:eastAsia="仿宋" w:cs="仿宋"/>
          <w:color w:val="000000" w:themeColor="text1"/>
          <w:kern w:val="0"/>
          <w:sz w:val="24"/>
          <w:szCs w:val="24"/>
          <w:highlight w:val="none"/>
          <w14:textFill>
            <w14:solidFill>
              <w14:schemeClr w14:val="tx1"/>
            </w14:solidFill>
          </w14:textFill>
        </w:rPr>
        <w:t>条的规定向甲方交付履约保证金的，应按应交付履约保证金的</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3 </w:t>
      </w:r>
      <w:r>
        <w:rPr>
          <w:rFonts w:hint="eastAsia" w:ascii="仿宋" w:hAnsi="仿宋" w:eastAsia="仿宋" w:cs="仿宋"/>
          <w:color w:val="000000" w:themeColor="text1"/>
          <w:kern w:val="0"/>
          <w:sz w:val="24"/>
          <w:szCs w:val="24"/>
          <w:highlight w:val="none"/>
          <w14:textFill>
            <w14:solidFill>
              <w14:schemeClr w14:val="tx1"/>
            </w14:solidFill>
          </w14:textFill>
        </w:rPr>
        <w:t>%向甲方支付违约金，该违约金的支付不影响乙方应承担的其他违约责任；</w:t>
      </w:r>
    </w:p>
    <w:p w14:paraId="27274602">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（7）乙方未按本合同的规定和“服务承诺”提供伴随服务/售后服务的，应按合同总价款的</w:t>
      </w:r>
      <w:r>
        <w:rPr>
          <w:rFonts w:hint="eastAsia" w:ascii="仿宋" w:hAnsi="仿宋" w:eastAsia="仿宋" w:cs="仿宋"/>
          <w:color w:val="000000" w:themeColor="text1"/>
          <w:kern w:val="0"/>
          <w:sz w:val="24"/>
          <w:szCs w:val="24"/>
          <w:highlight w:val="none"/>
          <w:u w:val="single"/>
          <w14:textFill>
            <w14:solidFill>
              <w14:schemeClr w14:val="tx1"/>
            </w14:solidFill>
          </w14:textFill>
        </w:rPr>
        <w:t xml:space="preserve"> 5 </w:t>
      </w:r>
      <w:r>
        <w:rPr>
          <w:rFonts w:hint="eastAsia" w:ascii="仿宋" w:hAnsi="仿宋" w:eastAsia="仿宋" w:cs="仿宋"/>
          <w:color w:val="000000" w:themeColor="text1"/>
          <w:kern w:val="0"/>
          <w:sz w:val="24"/>
          <w:szCs w:val="24"/>
          <w:highlight w:val="none"/>
          <w14:textFill>
            <w14:solidFill>
              <w14:schemeClr w14:val="tx1"/>
            </w14:solidFill>
          </w14:textFill>
        </w:rPr>
        <w:t>%向甲方承担违约责任；</w:t>
      </w:r>
    </w:p>
    <w:p w14:paraId="18216443">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（8）乙方在承担上述1-7款一项或多项违约责任后，仍应继续履行合同规定的义务（甲方解除合同的除外）。甲方未能及时追究乙方的任何一项违约责任并不表明甲方放弃追究乙方该项或其他违约责任；</w:t>
      </w:r>
    </w:p>
    <w:p w14:paraId="145001E5">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（9）乙方偿付的违约金不足以弥补甲方损失的，还应按甲方损失尚未弥补的部分，支付赔偿金给甲方。</w:t>
      </w:r>
    </w:p>
    <w:p w14:paraId="4273898E">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color w:val="000000" w:themeColor="text1"/>
          <w:kern w:val="0"/>
          <w:sz w:val="24"/>
          <w:szCs w:val="24"/>
          <w:highlight w:val="none"/>
          <w14:textFill>
            <w14:solidFill>
              <w14:schemeClr w14:val="tx1"/>
            </w14:solidFill>
          </w14:textFill>
        </w:rPr>
      </w:pPr>
      <w:bookmarkStart w:id="25" w:name="_Toc31609"/>
      <w:r>
        <w:rPr>
          <w:rFonts w:hint="eastAsia" w:ascii="仿宋" w:hAnsi="仿宋" w:eastAsia="仿宋" w:cs="仿宋"/>
          <w:b/>
          <w:color w:val="000000" w:themeColor="text1"/>
          <w:sz w:val="24"/>
          <w:szCs w:val="24"/>
          <w:highlight w:val="none"/>
          <w14:textFill>
            <w14:solidFill>
              <w14:schemeClr w14:val="tx1"/>
            </w14:solidFill>
          </w14:textFill>
        </w:rPr>
        <w:t xml:space="preserve">第十二条 </w:t>
      </w:r>
      <w:r>
        <w:rPr>
          <w:rFonts w:hint="eastAsia" w:ascii="仿宋" w:hAnsi="仿宋" w:eastAsia="仿宋" w:cs="仿宋"/>
          <w:b/>
          <w:color w:val="000000" w:themeColor="text1"/>
          <w:kern w:val="0"/>
          <w:sz w:val="24"/>
          <w:szCs w:val="24"/>
          <w:highlight w:val="none"/>
          <w14:textFill>
            <w14:solidFill>
              <w14:schemeClr w14:val="tx1"/>
            </w14:solidFill>
          </w14:textFill>
        </w:rPr>
        <w:t>合同的变更和终止</w:t>
      </w:r>
      <w:bookmarkEnd w:id="25"/>
    </w:p>
    <w:p w14:paraId="446B7C55">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480" w:firstLineChars="200"/>
        <w:jc w:val="lef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除《中华人民共和国政府采购法》第49条、第50条第二款规定的情形外，本合同一经签订，甲乙双方不得擅自变更、中止或终止合同。</w:t>
      </w:r>
    </w:p>
    <w:p w14:paraId="3B50C8F6">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6" w:name="_Toc304"/>
      <w:r>
        <w:rPr>
          <w:rFonts w:hint="eastAsia" w:ascii="仿宋" w:hAnsi="仿宋" w:eastAsia="仿宋" w:cs="仿宋"/>
          <w:b/>
          <w:color w:val="000000" w:themeColor="text1"/>
          <w:kern w:val="0"/>
          <w:sz w:val="24"/>
          <w:szCs w:val="24"/>
          <w:highlight w:val="none"/>
          <w14:textFill>
            <w14:solidFill>
              <w14:schemeClr w14:val="tx1"/>
            </w14:solidFill>
          </w14:textFill>
        </w:rPr>
        <w:t>第十</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三</w:t>
      </w:r>
      <w:r>
        <w:rPr>
          <w:rFonts w:hint="eastAsia" w:ascii="仿宋" w:hAnsi="仿宋" w:eastAsia="仿宋" w:cs="仿宋"/>
          <w:b/>
          <w:color w:val="000000" w:themeColor="text1"/>
          <w:kern w:val="0"/>
          <w:sz w:val="24"/>
          <w:szCs w:val="24"/>
          <w:highlight w:val="none"/>
          <w14:textFill>
            <w14:solidFill>
              <w14:schemeClr w14:val="tx1"/>
            </w14:solidFill>
          </w14:textFill>
        </w:rPr>
        <w:t>条 争议的解决</w:t>
      </w:r>
      <w:bookmarkEnd w:id="26"/>
    </w:p>
    <w:p w14:paraId="17B5A1AE">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1、因货物的质量问题发生争议，由质量技术监督部门或其指定的质量鉴定机构进行质量鉴定。货物符合标准的，鉴定费由甲方承担；货物不符合质量标准的，鉴定费由乙方承担。</w:t>
      </w:r>
    </w:p>
    <w:p w14:paraId="3FF61926">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2、因履行本合同引起的或与本合同有关的争议，甲、乙双方应首先通过友好协商解决，如果协商不成，则采取以下第</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1 </w:t>
      </w:r>
      <w:r>
        <w:rPr>
          <w:rFonts w:hint="eastAsia" w:ascii="仿宋" w:hAnsi="仿宋" w:eastAsia="仿宋" w:cs="仿宋"/>
          <w:color w:val="000000" w:themeColor="text1"/>
          <w:kern w:val="0"/>
          <w:sz w:val="24"/>
          <w:szCs w:val="24"/>
          <w:highlight w:val="none"/>
          <w14:textFill>
            <w14:solidFill>
              <w14:schemeClr w14:val="tx1"/>
            </w14:solidFill>
          </w14:textFill>
        </w:rPr>
        <w:t>种方式解决争议：</w:t>
      </w:r>
    </w:p>
    <w:p w14:paraId="0A747254">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（1）向甲方所在地有管辖权的人民法院提起诉讼；</w:t>
      </w:r>
    </w:p>
    <w:p w14:paraId="092F48FA">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（2）向</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汉中 </w:t>
      </w:r>
      <w:r>
        <w:rPr>
          <w:rFonts w:hint="eastAsia" w:ascii="仿宋" w:hAnsi="仿宋" w:eastAsia="仿宋" w:cs="仿宋"/>
          <w:color w:val="000000" w:themeColor="text1"/>
          <w:kern w:val="0"/>
          <w:sz w:val="24"/>
          <w:szCs w:val="24"/>
          <w:highlight w:val="none"/>
          <w14:textFill>
            <w14:solidFill>
              <w14:schemeClr w14:val="tx1"/>
            </w14:solidFill>
          </w14:textFill>
        </w:rPr>
        <w:t>仲裁委员会按其仲裁规则申请仲裁。</w:t>
      </w:r>
    </w:p>
    <w:p w14:paraId="48B8FF72">
      <w:pPr>
        <w:pStyle w:val="12"/>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3、在仲裁期间，本合同应继续履行。</w:t>
      </w:r>
    </w:p>
    <w:p w14:paraId="452EC3F9">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textAlignment w:val="baseline"/>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7" w:name="_Toc22373"/>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四</w:t>
      </w:r>
      <w:r>
        <w:rPr>
          <w:rFonts w:hint="eastAsia" w:ascii="仿宋" w:hAnsi="仿宋" w:eastAsia="仿宋" w:cs="仿宋"/>
          <w:b/>
          <w:color w:val="000000" w:themeColor="text1"/>
          <w:sz w:val="24"/>
          <w:szCs w:val="24"/>
          <w:highlight w:val="none"/>
          <w14:textFill>
            <w14:solidFill>
              <w14:schemeClr w14:val="tx1"/>
            </w14:solidFill>
          </w14:textFill>
        </w:rPr>
        <w:t>条合同文件</w:t>
      </w:r>
      <w:bookmarkEnd w:id="27"/>
    </w:p>
    <w:p w14:paraId="39966F1D">
      <w:pPr>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详细技术说明及其他有关合同项目的特定信息由合同附件予以说明，下列文件构成本合同的组成部分，应该认为是一个整体，彼此相互解释，相互补充。组成合同的多个文件的优先支配地位的次序如下：</w:t>
      </w:r>
    </w:p>
    <w:p w14:paraId="75BE7D83">
      <w:pPr>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1、本合同书</w:t>
      </w:r>
    </w:p>
    <w:p w14:paraId="7EF77457">
      <w:pPr>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2、中标通知书</w:t>
      </w:r>
      <w:r>
        <w:rPr>
          <w:rFonts w:hint="eastAsia" w:ascii="仿宋" w:hAnsi="仿宋" w:eastAsia="仿宋" w:cs="仿宋"/>
          <w:color w:val="000000" w:themeColor="text1"/>
          <w:sz w:val="24"/>
          <w:szCs w:val="24"/>
          <w:highlight w:val="none"/>
          <w14:textFill>
            <w14:solidFill>
              <w14:schemeClr w14:val="tx1"/>
            </w14:solidFill>
          </w14:textFill>
        </w:rPr>
        <w:tab/>
      </w:r>
    </w:p>
    <w:p w14:paraId="0B908932">
      <w:pPr>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招标</w:t>
      </w:r>
      <w:r>
        <w:rPr>
          <w:rFonts w:hint="eastAsia" w:ascii="仿宋" w:hAnsi="仿宋" w:eastAsia="仿宋" w:cs="仿宋"/>
          <w:color w:val="000000" w:themeColor="text1"/>
          <w:sz w:val="24"/>
          <w:szCs w:val="24"/>
          <w:highlight w:val="none"/>
          <w14:textFill>
            <w14:solidFill>
              <w14:schemeClr w14:val="tx1"/>
            </w14:solidFill>
          </w14:textFill>
        </w:rPr>
        <w:t>文件(含澄清文件)</w:t>
      </w:r>
    </w:p>
    <w:p w14:paraId="7781F5CE">
      <w:pPr>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、投标文件</w:t>
      </w:r>
    </w:p>
    <w:p w14:paraId="55983B63">
      <w:pPr>
        <w:pStyle w:val="7"/>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、附件：安全责任协议（签订时合同时一并签订）</w:t>
      </w:r>
    </w:p>
    <w:p w14:paraId="6502E5E6">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8" w:name="_Toc11752"/>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五</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合同生效及其他</w:t>
      </w:r>
      <w:bookmarkEnd w:id="28"/>
    </w:p>
    <w:p w14:paraId="6C54775F">
      <w:pPr>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1、</w:t>
      </w:r>
      <w:r>
        <w:rPr>
          <w:rFonts w:hint="eastAsia" w:ascii="仿宋" w:hAnsi="仿宋" w:eastAsia="仿宋" w:cs="仿宋"/>
          <w:color w:val="000000" w:themeColor="text1"/>
          <w:sz w:val="24"/>
          <w:szCs w:val="24"/>
          <w:highlight w:val="none"/>
          <w14:textFill>
            <w14:solidFill>
              <w14:schemeClr w14:val="tx1"/>
            </w14:solidFill>
          </w14:textFill>
        </w:rPr>
        <w:t>如有未尽事宜，由双方依法订立补充合同。</w:t>
      </w:r>
    </w:p>
    <w:p w14:paraId="42C69A4B">
      <w:pPr>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2、本合同自签订之日起生效。</w:t>
      </w:r>
    </w:p>
    <w:p w14:paraId="0F67C77D">
      <w:pPr>
        <w:keepNext w:val="0"/>
        <w:keepLines w:val="0"/>
        <w:pageBreakBefore w:val="0"/>
        <w:shd w:val="clear"/>
        <w:kinsoku/>
        <w:wordWrap/>
        <w:overflowPunct/>
        <w:topLinePunct w:val="0"/>
        <w:autoSpaceDE/>
        <w:autoSpaceDN/>
        <w:bidi w:val="0"/>
        <w:adjustRightInd w:val="0"/>
        <w:snapToGrid w:val="0"/>
        <w:spacing w:line="360" w:lineRule="auto"/>
        <w:ind w:left="0" w:leftChars="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3、本合同一式___份，具有同等法律效力，甲乙双方各执____份。</w:t>
      </w:r>
    </w:p>
    <w:p w14:paraId="66300731">
      <w:pPr>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p>
    <w:p w14:paraId="5D14074B">
      <w:pPr>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p>
    <w:p w14:paraId="7F08B1E3">
      <w:pPr>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甲方：   （盖章）   </w:t>
      </w:r>
      <w:r>
        <w:rPr>
          <w:rFonts w:hint="eastAsia" w:ascii="仿宋" w:hAnsi="仿宋" w:eastAsia="仿宋" w:cs="仿宋"/>
          <w:color w:val="000000" w:themeColor="text1"/>
          <w:sz w:val="24"/>
          <w:szCs w:val="24"/>
          <w:highlight w:val="none"/>
          <w14:textFill>
            <w14:solidFill>
              <w14:schemeClr w14:val="tx1"/>
            </w14:solidFill>
          </w14:textFill>
        </w:rPr>
        <w:tab/>
      </w:r>
      <w:r>
        <w:rPr>
          <w:rFonts w:hint="eastAsia" w:ascii="仿宋" w:hAnsi="仿宋" w:eastAsia="仿宋" w:cs="仿宋"/>
          <w:color w:val="000000" w:themeColor="text1"/>
          <w:sz w:val="24"/>
          <w:szCs w:val="24"/>
          <w:highlight w:val="none"/>
          <w14:textFill>
            <w14:solidFill>
              <w14:schemeClr w14:val="tx1"/>
            </w14:solidFill>
          </w14:textFill>
        </w:rPr>
        <w:tab/>
      </w:r>
      <w:r>
        <w:rPr>
          <w:rFonts w:hint="eastAsia" w:ascii="仿宋" w:hAnsi="仿宋" w:eastAsia="仿宋" w:cs="仿宋"/>
          <w:color w:val="000000" w:themeColor="text1"/>
          <w:sz w:val="24"/>
          <w:szCs w:val="24"/>
          <w:highlight w:val="none"/>
          <w14:textFill>
            <w14:solidFill>
              <w14:schemeClr w14:val="tx1"/>
            </w14:solidFill>
          </w14:textFill>
        </w:rPr>
        <w:tab/>
      </w:r>
      <w:r>
        <w:rPr>
          <w:rFonts w:hint="eastAsia" w:ascii="仿宋" w:hAnsi="仿宋" w:eastAsia="仿宋" w:cs="仿宋"/>
          <w:color w:val="000000" w:themeColor="text1"/>
          <w:sz w:val="24"/>
          <w:szCs w:val="24"/>
          <w:highlight w:val="none"/>
          <w14:textFill>
            <w14:solidFill>
              <w14:schemeClr w14:val="tx1"/>
            </w14:solidFill>
          </w14:textFill>
        </w:rPr>
        <w:t xml:space="preserve">   </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乙方：   （盖章）</w:t>
      </w:r>
    </w:p>
    <w:p w14:paraId="35B000D7">
      <w:pPr>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法定代表人/授权代表：              </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法定代表人/授权代表：</w:t>
      </w:r>
    </w:p>
    <w:p w14:paraId="57B14714">
      <w:pPr>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地    址：                         </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地    址：</w:t>
      </w:r>
    </w:p>
    <w:p w14:paraId="165A26F1">
      <w:pPr>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开户银行：                         </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开户银行：</w:t>
      </w:r>
    </w:p>
    <w:p w14:paraId="34653421">
      <w:pPr>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账    号：                         </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账    号：</w:t>
      </w:r>
    </w:p>
    <w:p w14:paraId="1ADA1E57">
      <w:pPr>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电    话：                         </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电    话：</w:t>
      </w:r>
    </w:p>
    <w:p w14:paraId="5F8BAF83">
      <w:pPr>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传    真：                         </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传    真：</w:t>
      </w:r>
    </w:p>
    <w:p w14:paraId="73334577">
      <w:pPr>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w:t>
      </w:r>
    </w:p>
    <w:p w14:paraId="2169D7E6">
      <w:pPr>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p>
    <w:p w14:paraId="41EAA3DE">
      <w:pPr>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p>
    <w:p w14:paraId="0273E0C4">
      <w:pPr>
        <w:keepNext w:val="0"/>
        <w:keepLines w:val="0"/>
        <w:pageBreakBefore w:val="0"/>
        <w:widowControl w:val="0"/>
        <w:shd w:val="clear"/>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签约日期：    年  月  日</w:t>
      </w:r>
    </w:p>
    <w:p w14:paraId="5AA1E3AF">
      <w:pPr>
        <w:rPr>
          <w:sz w:val="24"/>
          <w:szCs w:val="24"/>
        </w:rPr>
      </w:pPr>
    </w:p>
    <w:sectPr>
      <w:pgSz w:w="11906" w:h="16838"/>
      <w:pgMar w:top="1440" w:right="1706" w:bottom="1440" w:left="138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54274D"/>
    <w:rsid w:val="002E1F6F"/>
    <w:rsid w:val="00B20DF2"/>
    <w:rsid w:val="00B92181"/>
    <w:rsid w:val="012E311C"/>
    <w:rsid w:val="02B96468"/>
    <w:rsid w:val="03F51722"/>
    <w:rsid w:val="04AB1DE0"/>
    <w:rsid w:val="04CE1F73"/>
    <w:rsid w:val="05025778"/>
    <w:rsid w:val="060379FA"/>
    <w:rsid w:val="060C2D53"/>
    <w:rsid w:val="076646E5"/>
    <w:rsid w:val="07EF46DA"/>
    <w:rsid w:val="087D3A94"/>
    <w:rsid w:val="0A311903"/>
    <w:rsid w:val="0BD65C62"/>
    <w:rsid w:val="0C201306"/>
    <w:rsid w:val="0CDD71F7"/>
    <w:rsid w:val="0ED463D8"/>
    <w:rsid w:val="10A342B4"/>
    <w:rsid w:val="11D84431"/>
    <w:rsid w:val="12687563"/>
    <w:rsid w:val="13516249"/>
    <w:rsid w:val="141A39DB"/>
    <w:rsid w:val="146D70B2"/>
    <w:rsid w:val="15B036FB"/>
    <w:rsid w:val="15BB209F"/>
    <w:rsid w:val="15FF3D3A"/>
    <w:rsid w:val="161812A0"/>
    <w:rsid w:val="19704789"/>
    <w:rsid w:val="1A383CBF"/>
    <w:rsid w:val="1BE0460E"/>
    <w:rsid w:val="1C093B64"/>
    <w:rsid w:val="1C311B1C"/>
    <w:rsid w:val="1C766D20"/>
    <w:rsid w:val="1D2624F4"/>
    <w:rsid w:val="1D291FE4"/>
    <w:rsid w:val="1D880AB9"/>
    <w:rsid w:val="1E2A6014"/>
    <w:rsid w:val="1E8E65A3"/>
    <w:rsid w:val="20943C19"/>
    <w:rsid w:val="21521B0A"/>
    <w:rsid w:val="217A696B"/>
    <w:rsid w:val="21997739"/>
    <w:rsid w:val="226C6BFB"/>
    <w:rsid w:val="22743D02"/>
    <w:rsid w:val="2318468D"/>
    <w:rsid w:val="246758CC"/>
    <w:rsid w:val="246F3E35"/>
    <w:rsid w:val="247955FF"/>
    <w:rsid w:val="259326F1"/>
    <w:rsid w:val="26127ABA"/>
    <w:rsid w:val="265869B2"/>
    <w:rsid w:val="271B0BF0"/>
    <w:rsid w:val="284D302B"/>
    <w:rsid w:val="290F6532"/>
    <w:rsid w:val="29D46E34"/>
    <w:rsid w:val="2A41096D"/>
    <w:rsid w:val="2A81520E"/>
    <w:rsid w:val="2A8D3BB3"/>
    <w:rsid w:val="2AF92831"/>
    <w:rsid w:val="2B5D6268"/>
    <w:rsid w:val="2BA70CA4"/>
    <w:rsid w:val="2BD001FB"/>
    <w:rsid w:val="2C736DD8"/>
    <w:rsid w:val="2CDA6E57"/>
    <w:rsid w:val="2D4D587B"/>
    <w:rsid w:val="2D746964"/>
    <w:rsid w:val="2DB5731E"/>
    <w:rsid w:val="2DEC0BF0"/>
    <w:rsid w:val="2EA72D69"/>
    <w:rsid w:val="2FCA31B3"/>
    <w:rsid w:val="2FD162F0"/>
    <w:rsid w:val="30E402A4"/>
    <w:rsid w:val="31203028"/>
    <w:rsid w:val="315E1E05"/>
    <w:rsid w:val="317F1D7B"/>
    <w:rsid w:val="31EF6F01"/>
    <w:rsid w:val="32990C1B"/>
    <w:rsid w:val="33466FF4"/>
    <w:rsid w:val="346C65E7"/>
    <w:rsid w:val="34EB7E53"/>
    <w:rsid w:val="36891AAE"/>
    <w:rsid w:val="37375F10"/>
    <w:rsid w:val="373D070E"/>
    <w:rsid w:val="38575800"/>
    <w:rsid w:val="39096AFA"/>
    <w:rsid w:val="395C1320"/>
    <w:rsid w:val="39F94DC1"/>
    <w:rsid w:val="3B8E778B"/>
    <w:rsid w:val="3D87623F"/>
    <w:rsid w:val="3D960B78"/>
    <w:rsid w:val="40175FA1"/>
    <w:rsid w:val="40442B0E"/>
    <w:rsid w:val="40803861"/>
    <w:rsid w:val="40AB493B"/>
    <w:rsid w:val="411C75E7"/>
    <w:rsid w:val="4154274D"/>
    <w:rsid w:val="41650F8E"/>
    <w:rsid w:val="41A35612"/>
    <w:rsid w:val="4255690C"/>
    <w:rsid w:val="43EB1006"/>
    <w:rsid w:val="44004F9E"/>
    <w:rsid w:val="448E07FB"/>
    <w:rsid w:val="449F47B6"/>
    <w:rsid w:val="44C91833"/>
    <w:rsid w:val="450B59A8"/>
    <w:rsid w:val="45592BB7"/>
    <w:rsid w:val="47344472"/>
    <w:rsid w:val="47C3256A"/>
    <w:rsid w:val="4B38326F"/>
    <w:rsid w:val="4C251A45"/>
    <w:rsid w:val="4CF5766A"/>
    <w:rsid w:val="4CF82CB6"/>
    <w:rsid w:val="4D3F6B37"/>
    <w:rsid w:val="4DA846DC"/>
    <w:rsid w:val="4E2B70BB"/>
    <w:rsid w:val="4EC15329"/>
    <w:rsid w:val="4ED54860"/>
    <w:rsid w:val="4FD33566"/>
    <w:rsid w:val="4FDF68CD"/>
    <w:rsid w:val="503404A9"/>
    <w:rsid w:val="50E7376D"/>
    <w:rsid w:val="50EC2B32"/>
    <w:rsid w:val="510065DD"/>
    <w:rsid w:val="512C5624"/>
    <w:rsid w:val="5164091A"/>
    <w:rsid w:val="517A638F"/>
    <w:rsid w:val="53986FA1"/>
    <w:rsid w:val="54420CBA"/>
    <w:rsid w:val="54662BFB"/>
    <w:rsid w:val="5563538C"/>
    <w:rsid w:val="561304D0"/>
    <w:rsid w:val="56AB6FEB"/>
    <w:rsid w:val="57160908"/>
    <w:rsid w:val="5900361E"/>
    <w:rsid w:val="59303F5C"/>
    <w:rsid w:val="5A0C5FF2"/>
    <w:rsid w:val="5B48305A"/>
    <w:rsid w:val="5B6A2FD1"/>
    <w:rsid w:val="5C3E620B"/>
    <w:rsid w:val="5C5F68AD"/>
    <w:rsid w:val="5C9B365E"/>
    <w:rsid w:val="5CA6628A"/>
    <w:rsid w:val="5D1A27D4"/>
    <w:rsid w:val="5DD92690"/>
    <w:rsid w:val="5E023A27"/>
    <w:rsid w:val="5EAC1B52"/>
    <w:rsid w:val="5F3C2BC4"/>
    <w:rsid w:val="5FFE1F39"/>
    <w:rsid w:val="629D3C8C"/>
    <w:rsid w:val="630755A9"/>
    <w:rsid w:val="631B72A6"/>
    <w:rsid w:val="656B62C3"/>
    <w:rsid w:val="66FE3167"/>
    <w:rsid w:val="67DF4D46"/>
    <w:rsid w:val="68406D43"/>
    <w:rsid w:val="687547A2"/>
    <w:rsid w:val="688431F8"/>
    <w:rsid w:val="69117181"/>
    <w:rsid w:val="69CA7330"/>
    <w:rsid w:val="6A3273AF"/>
    <w:rsid w:val="6A883473"/>
    <w:rsid w:val="6AF40B09"/>
    <w:rsid w:val="6B1765A5"/>
    <w:rsid w:val="6BF608B1"/>
    <w:rsid w:val="6C5C4BB7"/>
    <w:rsid w:val="6CAA73DF"/>
    <w:rsid w:val="6CD72490"/>
    <w:rsid w:val="6CE150BD"/>
    <w:rsid w:val="6EBE56B6"/>
    <w:rsid w:val="701D01BA"/>
    <w:rsid w:val="70974410"/>
    <w:rsid w:val="70E76397"/>
    <w:rsid w:val="72750781"/>
    <w:rsid w:val="72F21DD2"/>
    <w:rsid w:val="73440153"/>
    <w:rsid w:val="73DB0AB8"/>
    <w:rsid w:val="74000F3C"/>
    <w:rsid w:val="74EC0AA3"/>
    <w:rsid w:val="773A5AF5"/>
    <w:rsid w:val="799A6D1F"/>
    <w:rsid w:val="7B6B0973"/>
    <w:rsid w:val="7BF51C2A"/>
    <w:rsid w:val="7C8141C6"/>
    <w:rsid w:val="7DA0242A"/>
    <w:rsid w:val="7EF40C80"/>
    <w:rsid w:val="7EFE1AFE"/>
    <w:rsid w:val="7F034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jc w:val="center"/>
      <w:outlineLvl w:val="0"/>
    </w:pPr>
    <w:rPr>
      <w:rFonts w:ascii="宋体" w:hAnsi="宋体"/>
      <w:sz w:val="36"/>
    </w:rPr>
  </w:style>
  <w:style w:type="paragraph" w:styleId="3">
    <w:name w:val="heading 2"/>
    <w:basedOn w:val="1"/>
    <w:next w:val="1"/>
    <w:qFormat/>
    <w:uiPriority w:val="0"/>
    <w:pPr>
      <w:spacing w:line="360" w:lineRule="auto"/>
      <w:jc w:val="center"/>
      <w:outlineLvl w:val="1"/>
    </w:pPr>
    <w:rPr>
      <w:rFonts w:ascii="Arial" w:hAnsi="Arial" w:eastAsia="黑体"/>
      <w:b/>
      <w:bCs/>
      <w:kern w:val="0"/>
      <w:sz w:val="32"/>
      <w:szCs w:val="32"/>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Normal Indent"/>
    <w:basedOn w:val="1"/>
    <w:next w:val="5"/>
    <w:qFormat/>
    <w:uiPriority w:val="0"/>
    <w:pPr>
      <w:adjustRightInd w:val="0"/>
      <w:spacing w:line="312" w:lineRule="atLeast"/>
      <w:ind w:firstLine="420"/>
      <w:textAlignment w:val="baseline"/>
    </w:pPr>
    <w:rPr>
      <w:rFonts w:ascii="宋体"/>
      <w:kern w:val="0"/>
    </w:rPr>
  </w:style>
  <w:style w:type="paragraph" w:styleId="5">
    <w:name w:val="Body Text First Indent 2"/>
    <w:basedOn w:val="6"/>
    <w:next w:val="1"/>
    <w:qFormat/>
    <w:uiPriority w:val="0"/>
    <w:pPr>
      <w:ind w:firstLine="420" w:firstLineChars="200"/>
    </w:pPr>
    <w:rPr>
      <w:sz w:val="21"/>
    </w:rPr>
  </w:style>
  <w:style w:type="paragraph" w:styleId="6">
    <w:name w:val="Body Text Indent"/>
    <w:basedOn w:val="1"/>
    <w:next w:val="1"/>
    <w:qFormat/>
    <w:uiPriority w:val="0"/>
    <w:pPr>
      <w:spacing w:after="120"/>
      <w:ind w:left="420" w:leftChars="200"/>
    </w:pPr>
    <w:rPr>
      <w:b/>
      <w:color w:val="000000"/>
      <w:kern w:val="0"/>
      <w:sz w:val="24"/>
      <w:szCs w:val="24"/>
    </w:rPr>
  </w:style>
  <w:style w:type="paragraph" w:styleId="7">
    <w:name w:val="Body Text"/>
    <w:basedOn w:val="1"/>
    <w:next w:val="1"/>
    <w:qFormat/>
    <w:uiPriority w:val="0"/>
    <w:pPr>
      <w:jc w:val="center"/>
    </w:pPr>
  </w:style>
  <w:style w:type="paragraph" w:styleId="8">
    <w:name w:val="footer"/>
    <w:basedOn w:val="1"/>
    <w:next w:val="7"/>
    <w:qFormat/>
    <w:uiPriority w:val="0"/>
    <w:pPr>
      <w:tabs>
        <w:tab w:val="center" w:pos="4153"/>
        <w:tab w:val="right" w:pos="8306"/>
      </w:tabs>
      <w:snapToGrid w:val="0"/>
      <w:jc w:val="left"/>
    </w:pPr>
    <w:rPr>
      <w:kern w:val="0"/>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2">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3493</Words>
  <Characters>3527</Characters>
  <Lines>0</Lines>
  <Paragraphs>0</Paragraphs>
  <TotalTime>2</TotalTime>
  <ScaleCrop>false</ScaleCrop>
  <LinksUpToDate>false</LinksUpToDate>
  <CharactersWithSpaces>3856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2026-01-15T06:49:00Z</dcterms:created>
  <dc:creator>pc-0001</dc:creator>
  <cp:lastModifiedBy>pc-0001</cp:lastModifiedBy>
  <dcterms:modified xsi:type="dcterms:W3CDTF">2026-01-15T09:46:27Z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F56930ACD8EC411B949CF2C265693796_11</vt:lpwstr>
  </property>
  <property fmtid="{D5CDD505-2E9C-101B-9397-08002B2CF9AE}" pid="4" name="KSOTemplateDocerSaveRecord">
    <vt:lpwstr>eyJoZGlkIjoiODk3ODczYTNlMTI1MTUxYjA1Zjk4YjY4YzI4N2IzMWYiLCJ1c2VySWQiOiIzODE4NTg2MzMifQ==</vt:lpwstr>
  </property>
</Properties>
</file>