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版本号：TZZB-HZ-2026019C20260119001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西乡县茶树种质资源圃扩繁温室建设项目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TZZB-HZ-2026019C</w:t>
      </w:r>
      <w:r>
        <w:br/>
      </w:r>
      <w:r>
        <w:br/>
      </w:r>
      <w:r>
        <w:br/>
      </w:r>
    </w:p>
    <w:p>
      <w:pPr>
        <w:pStyle w:val="null3"/>
        <w:jc w:val="center"/>
        <w:outlineLvl w:val="2"/>
      </w:pPr>
      <w:r>
        <w:rPr>
          <w:rFonts w:ascii="仿宋_GB2312" w:hAnsi="仿宋_GB2312" w:cs="仿宋_GB2312" w:eastAsia="仿宋_GB2312"/>
          <w:sz w:val="28"/>
          <w:b/>
        </w:rPr>
        <w:t>西乡县茶产业发展中心</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西乡县茶产业发展中心</w:t>
      </w:r>
      <w:r>
        <w:rPr>
          <w:rFonts w:ascii="仿宋_GB2312" w:hAnsi="仿宋_GB2312" w:cs="仿宋_GB2312" w:eastAsia="仿宋_GB2312"/>
        </w:rPr>
        <w:t>委托，拟对</w:t>
      </w:r>
      <w:r>
        <w:rPr>
          <w:rFonts w:ascii="仿宋_GB2312" w:hAnsi="仿宋_GB2312" w:cs="仿宋_GB2312" w:eastAsia="仿宋_GB2312"/>
        </w:rPr>
        <w:t>西乡县茶树种质资源圃扩繁温室建设项目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TZZB-HZ-2026019C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西乡县茶树种质资源圃扩繁温室建设项目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新建轻钢玻璃大棚，建筑面积316.25㎡。（具体详见本项目工程量清单）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采购包1（西乡县茶树种质资源圃扩繁温室建设项目）：属于专门面向中小企业采购。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2、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4、企业资质要求：供应商须具有行业主管部门颁发的建筑工程施工总承包三级及以上资质，并具有有效的安全生产许可证。</w:t>
      </w:r>
    </w:p>
    <w:p>
      <w:pPr>
        <w:pStyle w:val="null3"/>
      </w:pPr>
      <w:r>
        <w:rPr>
          <w:rFonts w:ascii="仿宋_GB2312" w:hAnsi="仿宋_GB2312" w:cs="仿宋_GB2312" w:eastAsia="仿宋_GB2312"/>
        </w:rPr>
        <w:t>5、项目经理资质要求：拟派本项目的项目经理须具备建筑工程专业二级及以上注册建造师，并持有效的安全生产考核合格证书，且无在建工程(出具无在建承诺书）。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西乡县茶产业发展中心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西乡县汉白路西段1号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0916-6222310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采购包1：424,479.69元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液晶显示器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工厂灯、视频设备、泵</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人造板、商品混凝土、其他非金属矿物制品、防水涂料、塑料制品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 本次项目代理服务费按合同约定3600元收取。 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西乡县茶产业发展中心</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西乡县茶产业发展中心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西乡县茶产业发展中心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424,479.69</w:t>
      </w:r>
    </w:p>
    <w:p>
      <w:pPr>
        <w:pStyle w:val="null3"/>
      </w:pPr>
      <w:r>
        <w:rPr>
          <w:rFonts w:ascii="仿宋_GB2312" w:hAnsi="仿宋_GB2312" w:cs="仿宋_GB2312" w:eastAsia="仿宋_GB2312"/>
        </w:rPr>
        <w:t>采购包最高限价（元）: 424,479.69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西乡县茶树种质资源圃扩繁温室建设项目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424,479.69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标的名称：西乡县茶树种质资源圃扩繁温室建设项目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rPr>
              <w:t>新建轻钢玻璃大棚，建筑面积316.25㎡。（具体详见本项目工程量清单）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6"/>
              </w:rPr>
              <w:t>编制依据：</w:t>
            </w:r>
            <w:r>
              <w:br/>
            </w:r>
            <w:r>
              <w:rPr>
                <w:rFonts w:ascii="仿宋_GB2312" w:hAnsi="仿宋_GB2312" w:cs="仿宋_GB2312" w:eastAsia="仿宋_GB2312"/>
                <w:sz w:val="16"/>
              </w:rPr>
              <w:t xml:space="preserve"> 1、西乡县茶树种质资源圃扩繁温室建设项目施工图纸、设计说明及设计答疑所有内容；</w:t>
            </w:r>
          </w:p>
          <w:p>
            <w:pPr>
              <w:pStyle w:val="null3"/>
            </w:pPr>
            <w:r>
              <w:rPr>
                <w:rFonts w:ascii="仿宋_GB2312" w:hAnsi="仿宋_GB2312" w:cs="仿宋_GB2312" w:eastAsia="仿宋_GB2312"/>
                <w:sz w:val="16"/>
              </w:rPr>
              <w:t>2、依据《陕西省建设工程工程量清单计价标准及计算标准2025》；</w:t>
            </w:r>
          </w:p>
          <w:p>
            <w:pPr>
              <w:pStyle w:val="null3"/>
            </w:pPr>
            <w:r>
              <w:rPr>
                <w:rFonts w:ascii="仿宋_GB2312" w:hAnsi="仿宋_GB2312" w:cs="仿宋_GB2312" w:eastAsia="仿宋_GB2312"/>
                <w:sz w:val="16"/>
              </w:rPr>
              <w:t>3、依据《陕西省房屋建筑与装饰工程消耗量定额(2025)》、《陕西省通用安装工程消耗量定额(2025)》、《陕西市政工程消耗量定额(2025)》、《陕西省园林绿化工程消耗量定额(2025)》、《陕西省城市地下综合管廊工程消耗量定额(2025)》、《陕西绿色建筑工程消耗量定额(2025)》、《陕西省建设工程费用规则(2025)》及相关配套文件；</w:t>
            </w:r>
          </w:p>
          <w:p>
            <w:pPr>
              <w:pStyle w:val="null3"/>
              <w:jc w:val="both"/>
            </w:pPr>
            <w:r>
              <w:rPr>
                <w:rFonts w:ascii="仿宋_GB2312" w:hAnsi="仿宋_GB2312" w:cs="仿宋_GB2312" w:eastAsia="仿宋_GB2312"/>
                <w:sz w:val="16"/>
              </w:rPr>
              <w:t>4、依据陕建管发〔2025〕10号《陕西省住房和城乡建设厅关于印发2025陕西省建设工程费用规则等计价依据的通知》文件。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商务要求（本项为实质性响应要求，不得负偏离） 1. 工期：90日历天； 2. 质量要求：符合国家现行有关施工质量验收规范“合格”要求； 3. 缺陷责任期：工程验收合格后 12 个月 ； 4. 漏项处理：施工过程中发现工程量清单中存在漏项工程的，该漏项工程作为本项目采购的组成部分，采购人和供应商可以按照双方合同的规定协商解决。 5. 施工要求： 5.1 遵守国家相关法律、法规，遵守国家相关技术规范； 5.2 所选材料必须保证质量可靠、进货渠道正常，符合国家环保等相关标准，满足施工要求； 5.3 工程质量符合国家有关规范，确保达到合格； 5.4 遵守有关施工规范和安全操作规程，采取有效的安全保障措施，确保施工安全，并承担事故的全部费用和责任； 5.5 施工单位必须服从当地对治安、卫生、环保、社会保险等工程建设的统一管理，并按有关规定交纳费用以及因违反相关规定而造成的罚款； 5.6 本工程不允许转包； 5.7 供应商自行办理垃圾清理手续，遵守当地政府垃圾分类处理有关规定，承担自行处置不当导致的全部费用和责任。 6.质量验收标准或规范： 6.1 国家现行有关法律、法规、环保和技术指标； 6.2 本项目施工合同； 6.3 经批准的设计文件及工程变更文件； 6.4 有关部政府部门的规定。 7.项目检验与验收： 7.1 成交供应商向采购人提交项目实施过程中的所有资料； 7.2 验收须以合同、磋商文件及响应文件、澄清、及国家相应的标准、规范等为依据。 8.合同的变更、中止、终止：合同一经签订，不得擅自变更、中止或者终止合同。对确需变更、调整或者中止、终止合同的，由双方协商解决。 9.合同争议的处理：合同在履行过程中发生的争议，当事人双方应协商解决，协商达不成一致时，可向采购方所在地仲裁委员会申请仲裁。 10..违约责任： 10.1 按《中华人民共和国政府采购法》《中华人民共和国民法典》中的相关条款执行； 10.2 未按要求提供货物、质量、环保标准不能满足技术要求的，施工方必须无条件更换，否则，采购单位有权终止合同，并对施工方的违约行为报监管机构进行相应的处罚。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可以使用签章文件直接打印），电子版文件2份（以U盘为载体，PDF格式），纸质响应文件均须A4纸打印，分别各自装订成册并编制目录和页码。线下递交响应文件地点：同正项目管理有限公司（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供应商须具有行业主管部门颁发的建筑工程施工总承包三级及以上资质，并具有有效的安全生产许可证。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拟派本项目的项目经理须具备建筑工程专业二级及以上注册建造师，并持有效的安全生产考核合格证书，且无在建工程(出具无在建承诺书）。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工程量清单响应承诺函.docx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环境标志产品、节能产品明细表.docx 拟投入本工程的主要施工设备表.docx 供应商类似项目业绩一览表.docx 中小企业声明函 工程量清单响应承诺函.docx 商务要求应答表.docx 政府强制采购产品明细表.docx 响应文件封面 供应商应提交的相关资格证明材料.docx 残疾人福利性单位声明函 总实施方案.docx 报价函 强制、优先采购产品承诺函.docx 标的清单 拟派项目团队人员配置表.docx 项目经理简历表.docx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工程量清单响应承诺函.docx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环境标志产品、节能产品明细表.docx 拟投入本工程的主要施工设备表.docx 供应商类似项目业绩一览表.docx 中小企业声明函 工程量清单响应承诺函.docx 商务要求应答表.docx 政府强制采购产品明细表.docx 响应文件封面 供应商应提交的相关资格证明材料.docx 残疾人福利性单位声明函 总实施方案.docx 报价函 强制、优先采购产品承诺函.docx 标的清单 拟派项目团队人员配置表.docx 项目经理简历表.docx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环境标志产品、节能产品明细表.docx 拟投入本工程的主要施工设备表.docx 供应商类似项目业绩一览表.docx 中小企业声明函 工程量清单响应承诺函.docx 商务要求应答表.docx 政府强制采购产品明细表.docx 响应文件封面 供应商应提交的相关资格证明材料.docx 残疾人福利性单位声明函 总实施方案.docx 报价函 强制、优先采购产品承诺函.docx 标的清单 拟派项目团队人员配置表.docx 项目经理简历表.docx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工期、质量要求、缺陷责任期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政府强制采购产品</w:t>
            </w:r>
          </w:p>
        </w:tc>
        <w:tc>
          <w:tcPr>
            <w:tcW w:type="dxa" w:w="3322"/>
          </w:tcPr>
          <w:p>
            <w:pPr>
              <w:pStyle w:val="null3"/>
            </w:pPr>
            <w:r>
              <w:rPr>
                <w:rFonts w:ascii="仿宋_GB2312" w:hAnsi="仿宋_GB2312" w:cs="仿宋_GB2312" w:eastAsia="仿宋_GB2312"/>
              </w:rPr>
              <w:t>1.属于《节能产品政府采购品目清单》中政府强制采购产品的，供应商应当提供国家确定的认证机构出具的、处于有效期之内的节能产品认证证书，否则作无效响应处理。 2.属于政府强制采购产品不填报的，作无效响应处理。</w:t>
            </w:r>
          </w:p>
        </w:tc>
        <w:tc>
          <w:tcPr>
            <w:tcW w:type="dxa" w:w="1661"/>
          </w:tcPr>
          <w:p>
            <w:pPr>
              <w:pStyle w:val="null3"/>
            </w:pPr>
            <w:r>
              <w:rPr>
                <w:rFonts w:ascii="仿宋_GB2312" w:hAnsi="仿宋_GB2312" w:cs="仿宋_GB2312" w:eastAsia="仿宋_GB2312"/>
              </w:rPr>
              <w:t>强制、优先采购产品承诺函.docx 政府强制采购产品明细表.docx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一、评审内容：针对本项目施工内容制定施工方案，包括①项目整体思路；②项目重点难点；③施工实施的流程；④管理规章制度方案。 二、赋分标准： 1.完整性：对上述各项内容均有描述，得4分；每缺1项扣1分，扣完为止。此项不提供不得分。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安全施工、文明施工管理制度及措施</w:t>
            </w:r>
          </w:p>
        </w:tc>
        <w:tc>
          <w:tcPr>
            <w:tcW w:type="dxa" w:w="2492"/>
          </w:tcPr>
          <w:p>
            <w:pPr>
              <w:pStyle w:val="null3"/>
            </w:pPr>
            <w:r>
              <w:rPr>
                <w:rFonts w:ascii="仿宋_GB2312" w:hAnsi="仿宋_GB2312" w:cs="仿宋_GB2312" w:eastAsia="仿宋_GB2312"/>
              </w:rPr>
              <w:t>一、评审内容：针对本项目制定安全施工、文明施工管理制度及措施，包括①安全施工、文明施工管理制度；②安全施工、文明施工管理措施。 二、赋分标准： 1.完整性：对上述各项内容均有描述，得2分；每缺1项扣1分，扣完为止。此项不提供不得分。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工程质量保证管理制度及措施</w:t>
            </w:r>
          </w:p>
        </w:tc>
        <w:tc>
          <w:tcPr>
            <w:tcW w:type="dxa" w:w="2492"/>
          </w:tcPr>
          <w:p>
            <w:pPr>
              <w:pStyle w:val="null3"/>
            </w:pPr>
            <w:r>
              <w:rPr>
                <w:rFonts w:ascii="仿宋_GB2312" w:hAnsi="仿宋_GB2312" w:cs="仿宋_GB2312" w:eastAsia="仿宋_GB2312"/>
              </w:rPr>
              <w:t>一、评审内容：针对本项目制定工程质量保证管理制度及措施，包括①工程质量保证管理制度；②工程质量保证管理措施。 二、赋分标准： 1.完整性：对上述各项内容均有描述，得2分；每缺1项扣1分，扣完为止。此项不提供不得分。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一、评审内容：针对本项目制定工期的技术组织措施，包括①工期的技术组织措施；②施工工期进度安排。 二、赋分标准： 1.完整性：对上述各项内容均有描述，得2分；每缺1项扣1分，扣完为止。此项不提供不得分。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降低环境污染措施及环境保护管理制度</w:t>
            </w:r>
          </w:p>
        </w:tc>
        <w:tc>
          <w:tcPr>
            <w:tcW w:type="dxa" w:w="2492"/>
          </w:tcPr>
          <w:p>
            <w:pPr>
              <w:pStyle w:val="null3"/>
            </w:pPr>
            <w:r>
              <w:rPr>
                <w:rFonts w:ascii="仿宋_GB2312" w:hAnsi="仿宋_GB2312" w:cs="仿宋_GB2312" w:eastAsia="仿宋_GB2312"/>
              </w:rPr>
              <w:t>一、评审内容：针对本项目制定降低环境污染措施及环境保护管理制度，包括①降低环境污染措施；②环境保护管理制度。 二、赋分标准： 1.完整性：对上述各项内容均有描述，得2分；每缺1项扣1分，扣完为止。此项不提供不得分。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一、评审内容：针对本项目制定紧急预案措施进行评审。 二、赋分标准： 1.完整性：对上述内容有描述，得1分；不提供不得分。 2.针对性：上述内容针对性明确得2分；针对性较明确得1分；缺乏针对性得0分。此项不提供不得分。 3.可实施性：上述各项内容可实施性合理得2分；可实施性较合理得1分；缺乏可实施性得0分。此项不提供不得分。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一、评审内容：针对本项目拟投入的主要施工机械设备配备进行评审。 二、赋分标准： 1.完整性：对上述内容有描述得1分，此项不提供不得分。 2.针对性：上述内容针对性明确得2分；针对性较明确，每项内容得1分；缺乏针对性，每项内容得0分。此项不提供不得分。 3.可实施性：上述内容可实施性合理得2分；可实施性较合理，每项内容得1分；缺乏可实施性，每项内容得0分。此项不提供不得分。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拟投入本工程的主要施工设备表.docx</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一、评审内容：针对本项目劳动力配备进行评审。 二、赋分标准： 1.完整性：对上述内容有描述得1分，此项不提供不得分。 2.针对性：上述内容针对性明确得1分；针对性较明确得0.5分；缺乏针对性得0分。此项不提供不得分。 3.可实施性：上述内容可实施性合理得1分；可实施性较合理得0.5分；缺乏可实施性得0分。此项不提供不得分。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一、评审内容：供应商针对本项目特点提供切实可行的施工安全承诺、文明施工承诺、施工质量保证承诺、工期保证承诺、施工环境承诺，保证按时按质按量完成本项目。 二、赋分标准：每提供一项承诺得1分，满分5分。未提供此项内容不得分。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所配备项目技术负责人、施工员、质检员、安全员、材料员，具备相关专业技术职称或岗位证书。 二、评审标准： 全部满足得 5 分，每缺少一人或相应人员无证书证件扣 1 分，扣完为止。 响应文件内附相应人员证书证件复印件并签章。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一、评审内容：项目经理具备建筑工程相关专业职称证。二、评审标准：中级及以上职称得2分，其他不得分。响应文件内附职称证复印件并签章。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主要材料为节能产品、环境标志产品的，每提供1个有效期内的认证证书得0.5分，最高得4分，未提供不得分。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环境标志产品、节能产品明细表.docx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一、评审内容：供应商提供2024年1月至今完成的类似项目业绩。 二、赋分标准：每提供一个合格业绩得2.5分，满分5分。未提供此项内容不得分。 注：业绩以中标（成交）通知书和合同（协议书)为准，响应文件内附复印件并签章。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详见附件：拟投入本工程的主要施工设备表.docx</w:t>
      </w:r>
    </w:p>
    <w:p>
      <w:pPr>
        <w:pStyle w:val="null3"/>
        <w:ind w:firstLine="960"/>
      </w:pPr>
      <w:r>
        <w:rPr>
          <w:rFonts w:ascii="仿宋_GB2312" w:hAnsi="仿宋_GB2312" w:cs="仿宋_GB2312" w:eastAsia="仿宋_GB2312"/>
        </w:rPr>
        <w:t>详见附件：强制、优先采购产品承诺函.docx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详见附件：工程量清单响应承诺函.docx</w:t>
      </w:r>
    </w:p>
    <w:p>
      <w:pPr>
        <w:pStyle w:val="null3"/>
        <w:ind w:firstLine="960"/>
      </w:pPr>
      <w:r>
        <w:rPr>
          <w:rFonts w:ascii="仿宋_GB2312" w:hAnsi="仿宋_GB2312" w:cs="仿宋_GB2312" w:eastAsia="仿宋_GB2312"/>
        </w:rPr>
        <w:t>详见附件：政府强制采购产品明细表.docx</w:t>
      </w:r>
    </w:p>
    <w:p>
      <w:pPr>
        <w:pStyle w:val="null3"/>
        <w:ind w:firstLine="960"/>
      </w:pPr>
      <w:r>
        <w:rPr>
          <w:rFonts w:ascii="仿宋_GB2312" w:hAnsi="仿宋_GB2312" w:cs="仿宋_GB2312" w:eastAsia="仿宋_GB2312"/>
        </w:rPr>
        <w:t>详见附件：环境标志产品、节能产品明细表.docx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