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版本号：JHCG202502320260122001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西乡县S218贯山大桥危桥改造工程监理服务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JHCG2025023</w:t>
      </w:r>
      <w:r>
        <w:br/>
      </w:r>
      <w:r>
        <w:br/>
      </w:r>
      <w:r>
        <w:br/>
      </w:r>
    </w:p>
    <w:p>
      <w:pPr>
        <w:pStyle w:val="null3"/>
        <w:jc w:val="center"/>
        <w:outlineLvl w:val="2"/>
      </w:pPr>
      <w:r>
        <w:rPr>
          <w:rFonts w:ascii="仿宋_GB2312" w:hAnsi="仿宋_GB2312" w:cs="仿宋_GB2312" w:eastAsia="仿宋_GB2312"/>
          <w:sz w:val="28"/>
          <w:b/>
        </w:rPr>
        <w:t>西乡县交通运输局</w:t>
      </w:r>
    </w:p>
    <w:p>
      <w:pPr>
        <w:pStyle w:val="null3"/>
        <w:jc w:val="center"/>
        <w:outlineLvl w:val="2"/>
      </w:pPr>
      <w:r>
        <w:rPr>
          <w:rFonts w:ascii="仿宋_GB2312" w:hAnsi="仿宋_GB2312" w:cs="仿宋_GB2312" w:eastAsia="仿宋_GB2312"/>
          <w:sz w:val="28"/>
          <w:b/>
        </w:rPr>
        <w:t>陕西建华工程咨询有限公司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陕西建华工程咨询有限公司</w:t>
      </w:r>
      <w:r>
        <w:rPr>
          <w:rFonts w:ascii="仿宋_GB2312" w:hAnsi="仿宋_GB2312" w:cs="仿宋_GB2312" w:eastAsia="仿宋_GB2312"/>
        </w:rPr>
        <w:t>（以下简称“代理机构”）受</w:t>
      </w:r>
      <w:r>
        <w:rPr>
          <w:rFonts w:ascii="仿宋_GB2312" w:hAnsi="仿宋_GB2312" w:cs="仿宋_GB2312" w:eastAsia="仿宋_GB2312"/>
        </w:rPr>
        <w:t>西乡县交通运输局</w:t>
      </w:r>
      <w:r>
        <w:rPr>
          <w:rFonts w:ascii="仿宋_GB2312" w:hAnsi="仿宋_GB2312" w:cs="仿宋_GB2312" w:eastAsia="仿宋_GB2312"/>
        </w:rPr>
        <w:t>委托，拟对</w:t>
      </w:r>
      <w:r>
        <w:rPr>
          <w:rFonts w:ascii="仿宋_GB2312" w:hAnsi="仿宋_GB2312" w:cs="仿宋_GB2312" w:eastAsia="仿宋_GB2312"/>
        </w:rPr>
        <w:t>西乡县S218贯山大桥危桥改造工程监理服务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JHCG2025023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西乡县S218贯山大桥危桥改造工程监理服务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项目位于S218线K271+462处，设计采用拆除新建方案新建桥梁长124m，桥宽为净 9米行车道+2×0.5米防撞护 栏，设计荷载为公路I级，上部结构采用4×30m装配式预应力混凝土简支小箱梁，下部结构采用柱式台桩基础，桥面铺 装采用沥青混凝土。两侧桥头各设置25米引线与旧路顺接，三级公路技术标准，路基宽7.5米，路面宽6.9米。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采购包1（西乡县S218贯山大桥危桥改造工程监理服务）：属于专门面向中小企业采购。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3、资质要求：供应商须具备建设行政主管部门核发的工程监理综合资质或公路工程乙级及以上资质；（提供加盖投标供应商公章的证书扫描件）；</w:t>
      </w:r>
    </w:p>
    <w:p>
      <w:pPr>
        <w:pStyle w:val="null3"/>
      </w:pPr>
      <w:r>
        <w:rPr>
          <w:rFonts w:ascii="仿宋_GB2312" w:hAnsi="仿宋_GB2312" w:cs="仿宋_GB2312" w:eastAsia="仿宋_GB2312"/>
        </w:rPr>
        <w:t>4、项目总监：拟派项目总监理工程师具备公路工程专业注册监理工程师资格，在本单位注册，且未担任其他在建工程项目的总监理工程师。（提供加盖投标供应商公章的证书扫描件、无在建项目监理承诺书及及响应文件递交截止时间近三个月养老保险缴纳证明材料）；</w:t>
      </w:r>
    </w:p>
    <w:p>
      <w:pPr>
        <w:pStyle w:val="null3"/>
      </w:pPr>
      <w:r>
        <w:rPr>
          <w:rFonts w:ascii="仿宋_GB2312" w:hAnsi="仿宋_GB2312" w:cs="仿宋_GB2312" w:eastAsia="仿宋_GB2312"/>
        </w:rPr>
        <w:t>5、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6、控股管理关系声明：单位负责人为同一人或存在控股、管理关系的不同单位，不得同时参加本项目磋商；（供应商须提供《控股管理关系声明》）；</w:t>
      </w:r>
    </w:p>
    <w:p>
      <w:pPr>
        <w:pStyle w:val="null3"/>
      </w:pPr>
      <w:r>
        <w:rPr>
          <w:rFonts w:ascii="仿宋_GB2312" w:hAnsi="仿宋_GB2312" w:cs="仿宋_GB2312" w:eastAsia="仿宋_GB2312"/>
        </w:rPr>
        <w:t>7、非联合体投标声明：本项目不接受联合体投标。（供应商须提供《非联合体投标声明》）；</w:t>
      </w:r>
    </w:p>
    <w:p>
      <w:pPr>
        <w:pStyle w:val="null3"/>
      </w:pPr>
      <w:r>
        <w:rPr>
          <w:rFonts w:ascii="仿宋_GB2312" w:hAnsi="仿宋_GB2312" w:cs="仿宋_GB2312" w:eastAsia="仿宋_GB2312"/>
        </w:rPr>
        <w:t>8、中小企业声明函：本项目专门面向中小企业采购。（供应商须提供《中小企业声明函》）。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汉中市西乡县汉白路215号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陕西建华工程咨询有限公司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汉中市汉台区东关街道办事处东关正街263地旺花苑小区15号楼2层201、202室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0916-2523740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说明：10%签约合同价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中标（成交）供应商应在领取中标（成交）通知书前，须向采购代理机构一次性支付招标代理服务费。 代理服务费缴纳账户名称：陕西建华工程咨询有限公司 开户行：工行汉中西环路支行 账号：2606053909000001816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西乡县交通运输局</w:t>
      </w:r>
      <w:r>
        <w:rPr>
          <w:rFonts w:ascii="仿宋_GB2312" w:hAnsi="仿宋_GB2312" w:cs="仿宋_GB2312" w:eastAsia="仿宋_GB2312"/>
        </w:rPr>
        <w:t>和</w:t>
      </w:r>
      <w:r>
        <w:rPr>
          <w:rFonts w:ascii="仿宋_GB2312" w:hAnsi="仿宋_GB2312" w:cs="仿宋_GB2312" w:eastAsia="仿宋_GB2312"/>
        </w:rPr>
        <w:t>陕西建华工程咨询有限公司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陕西建华工程咨询有限公司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陕西建华工程咨询有限公司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符合国家现行有关施工质量验收规范“合格”要求，满足合同约定和设计文件要求（如图纸、技术交底、变更单等）。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陕西建华工程咨询有限公司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陕西建华工程咨询有限公司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陕西建华工程咨询有限公司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联系人：王乐</w:t>
      </w:r>
    </w:p>
    <w:p>
      <w:pPr>
        <w:pStyle w:val="null3"/>
      </w:pPr>
      <w:r>
        <w:rPr>
          <w:rFonts w:ascii="仿宋_GB2312" w:hAnsi="仿宋_GB2312" w:cs="仿宋_GB2312" w:eastAsia="仿宋_GB2312"/>
        </w:rPr>
        <w:t>联系电话：0916-2523740</w:t>
      </w:r>
    </w:p>
    <w:p>
      <w:pPr>
        <w:pStyle w:val="null3"/>
      </w:pPr>
      <w:r>
        <w:rPr>
          <w:rFonts w:ascii="仿宋_GB2312" w:hAnsi="仿宋_GB2312" w:cs="仿宋_GB2312" w:eastAsia="仿宋_GB2312"/>
        </w:rPr>
        <w:t>地址：汉中市汉台区东新街地旺花苑小区15号楼2层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项目位于S218线K271+462处，设计采用拆除新建方案新建桥梁长124m，桥宽为净 9米行车道+2×0.5米防撞护栏，设计荷载为公路I级，上部结构采用4×30m装配式预应力混凝土简支小箱梁，下部结构采用柱式台桩基础，桥面铺装采用沥青混凝土。两侧桥头各设置25米引线与旧路顺接，三级公路技术标准，路基宽7.5米，路面宽6.9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122,800.00</w:t>
      </w:r>
    </w:p>
    <w:p>
      <w:pPr>
        <w:pStyle w:val="null3"/>
      </w:pPr>
      <w:r>
        <w:rPr>
          <w:rFonts w:ascii="仿宋_GB2312" w:hAnsi="仿宋_GB2312" w:cs="仿宋_GB2312" w:eastAsia="仿宋_GB2312"/>
        </w:rPr>
        <w:t>采购包最高限价（元）: 122,800.00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西乡县S218贯山大桥危桥改造工程监理服务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标的名称：西乡县S218贯山大桥危桥改造工程监理服务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1、建设地点：西乡县峡口镇贯山</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工程</w:t>
            </w:r>
            <w:r>
              <w:rPr>
                <w:rFonts w:ascii="仿宋_GB2312" w:hAnsi="仿宋_GB2312" w:cs="仿宋_GB2312" w:eastAsia="仿宋_GB2312"/>
                <w:sz w:val="21"/>
              </w:rPr>
              <w:t>规模：项目位于</w:t>
            </w:r>
            <w:r>
              <w:rPr>
                <w:rFonts w:ascii="仿宋_GB2312" w:hAnsi="仿宋_GB2312" w:cs="仿宋_GB2312" w:eastAsia="仿宋_GB2312"/>
                <w:sz w:val="21"/>
              </w:rPr>
              <w:t>S218线K271+462处，设计采用拆除新建方案新建桥梁长124m，桥宽为净 9米行车道+2×0.5米防撞护栏，设计荷载为公路I级，上部结构采用4×30m装配式预应力混凝土简支小箱梁，下部结构采用柱式台桩基础，桥面铺装采用沥青混凝土。两侧桥头各设置25米引线与旧路顺接，三级公路技术标准，路基宽7.5米，路面宽6.9米。</w:t>
            </w:r>
          </w:p>
          <w:p>
            <w:pPr>
              <w:pStyle w:val="null3"/>
              <w:ind w:firstLine="480"/>
              <w:jc w:val="both"/>
            </w:pPr>
            <w:r>
              <w:rPr>
                <w:rFonts w:ascii="仿宋_GB2312" w:hAnsi="仿宋_GB2312" w:cs="仿宋_GB2312" w:eastAsia="仿宋_GB2312"/>
                <w:sz w:val="21"/>
              </w:rPr>
              <w:t xml:space="preserve"> 3、监理范围：西乡县S218贯山大桥危桥改造工程监理服务项目具体范围包括：施工准备阶段、施工阶段、交工验收与缺陷责任期阶段的施工监理服务及施工过程中环境保护和施工安全的监理，以及协助采购人做好项目开工准备工作、竣工验收等工作。</w:t>
            </w:r>
          </w:p>
          <w:p>
            <w:pPr>
              <w:pStyle w:val="null3"/>
              <w:ind w:firstLine="480"/>
              <w:jc w:val="both"/>
            </w:pPr>
            <w:r>
              <w:rPr>
                <w:rFonts w:ascii="仿宋_GB2312" w:hAnsi="仿宋_GB2312" w:cs="仿宋_GB2312" w:eastAsia="仿宋_GB2312"/>
                <w:sz w:val="21"/>
              </w:rPr>
              <w:t>4、监理内容：</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1）质量控制：必须严格依照国家有关规定，检查施工单位所施工的项目是否符合预定的质量要求，而且整个监理工作中应强调对工程质量的事前控制、事中监管和事后评估。</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2）进度控制：在工程实施过程中，监理工程师严格按照采购文件、合同、施工进度计划的要求，对施工进度进行跟进，确保整体施工有序进行。确保工程开、竣工时间进度计划按时完成。</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3）安全目标：达到零安全事故标准。</w:t>
            </w:r>
          </w:p>
          <w:p>
            <w:pPr>
              <w:pStyle w:val="null3"/>
              <w:ind w:firstLine="480"/>
              <w:jc w:val="both"/>
            </w:pPr>
            <w:r>
              <w:rPr>
                <w:rFonts w:ascii="仿宋_GB2312" w:hAnsi="仿宋_GB2312" w:cs="仿宋_GB2312" w:eastAsia="仿宋_GB2312"/>
                <w:sz w:val="21"/>
              </w:rPr>
              <w:t>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r>
              <w:rPr>
                <w:rFonts w:ascii="仿宋_GB2312" w:hAnsi="仿宋_GB2312" w:cs="仿宋_GB2312" w:eastAsia="仿宋_GB2312"/>
                <w:sz w:val="21"/>
              </w:rPr>
              <w:t>（采购人</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4）监理人员名单组成：要求项目至少配备总监理工程师一名、持有《安全监理培训考试合格证》证书的人员一名、持有《公路水运工程试验检测师》证书的人员一名，以上监理人员全程跟进，其余人员可根据施工进度派驻合理人数，所有参与的监理人员须持证上岗，项目实施过程中，不得更换监理人员。</w:t>
            </w:r>
          </w:p>
          <w:p>
            <w:pPr>
              <w:pStyle w:val="null3"/>
              <w:ind w:firstLine="480"/>
              <w:jc w:val="both"/>
            </w:pPr>
            <w:r>
              <w:rPr>
                <w:rFonts w:ascii="仿宋_GB2312" w:hAnsi="仿宋_GB2312" w:cs="仿宋_GB2312" w:eastAsia="仿宋_GB2312"/>
                <w:sz w:val="21"/>
              </w:rPr>
              <w:t>（5）所有程序必须符合国家相关监理规定和国家工程质量验收合格标准。</w:t>
            </w:r>
          </w:p>
          <w:p>
            <w:pPr>
              <w:pStyle w:val="null3"/>
              <w:ind w:firstLine="480"/>
              <w:jc w:val="both"/>
            </w:pPr>
            <w:r>
              <w:rPr>
                <w:rFonts w:ascii="仿宋_GB2312" w:hAnsi="仿宋_GB2312" w:cs="仿宋_GB2312" w:eastAsia="仿宋_GB2312"/>
                <w:sz w:val="21"/>
              </w:rPr>
              <w:t>5、质量标准：</w:t>
            </w:r>
            <w:r>
              <w:rPr>
                <w:rFonts w:ascii="仿宋_GB2312" w:hAnsi="仿宋_GB2312" w:cs="仿宋_GB2312" w:eastAsia="仿宋_GB2312"/>
                <w:sz w:val="21"/>
              </w:rPr>
              <w:t>达到国家质量检验与评定标准合格质量等级；</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xml:space="preserve">  6、合同履行期限：自监理合同签订之日起至工程竣工验收合格及工程保修期满为止。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监理机构人员应专业配套齐全、年龄结构合理、人员资格满足建设工程监理合同约定和现场监理工作需要。要求项目至少配备总监理工程师一名、持有《安全监理培训考试合格证》证书的人员一名、持有《公路水运工程试验检测师》证书的人员一名，以上监理人员全程跟进，其余人员可根据施工进度派驻合理人数，所有参与的监理人员须持证上岗，项目实施过程中，不得更换监理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建设工程监理的设施设备配置是保障监理工作有效开展的基础，需结合工程规模、技术难度、现场条件等因素，满足监理单位对工程质量、安全、进度、造价等方面的监督管理需求。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自监理合同签订之日起至工程竣工验收合格及工程保修期满为止。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符合国家现行有关施工质量验收规范“合格”要求，满足合同约定和设计文件要求（如图纸、技术交底、变更单等）。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采购人按照工程进度支付监理费用，工程完工后累计支付成交金额的80%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交（竣）工验收、监理资料移交后支付成交金额的10%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剩余10%作为缺陷责任期监理服务费，缺陷责任期结束后按采购人财务规定无息支付(缺陷责任期:24个月)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成交供应商领取成交通知书时，提交纸质响应文件正本壹份、副本壹份、电子版壹份（U盘壹份注明单位名称），内容和通过电子化交易平台实施的政府采购项目提交的响应文件一致。纸质响应文件正副本分别胶装（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供应商须具备建设行政主管部门核发的工程监理综合资质或公路工程乙级及以上资质；（提供加盖投标供应商公章的证书扫描件）；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理工程师具备公路工程专业注册监理工程师资格，在本单位注册，且未担任其他在建工程项目的总监理工程师。（提供加盖投标供应商公章的证书扫描件、无在建项目监理承诺书及及响应文件递交截止时间近三个月养老保险缴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单位负责人为同一人或存在控股、管理关系的不同单位，不得同时参加本项目磋商；（供应商须提供《控股管理关系声明》）；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本项目不接受联合体投标。（供应商须提供《非联合体投标声明》）；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响应文件未出现磋商文件、法律法规规定的无效响应情形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 1月 1 日至今，以合同签订时间时间为准）每完成过一个大桥工程或公路包含大桥工程的项目监理服务业绩得4分，最高得12分。 注： 业绩证明材料须提供加盖单位公章的合同协议书复印件（应包括合同首页、合同内容页、合同签订日期页、合同签字盖章页等相关证明页）。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总监理工程师业绩</w:t>
            </w:r>
          </w:p>
        </w:tc>
        <w:tc>
          <w:tcPr>
            <w:tcW w:type="dxa" w:w="2492"/>
          </w:tcPr>
          <w:p>
            <w:pPr>
              <w:pStyle w:val="null3"/>
            </w:pPr>
            <w:r>
              <w:rPr>
                <w:rFonts w:ascii="仿宋_GB2312" w:hAnsi="仿宋_GB2312" w:cs="仿宋_GB2312" w:eastAsia="仿宋_GB2312"/>
              </w:rPr>
              <w:t>投入本项目的总监理工程师近三年（2022年1月1日至今，以合同签订时间为准。）每完成过一个大桥工程或公路包含大桥工程的项目监理服务业绩得4分。 注：业绩证明材料须提供加盖单位公章的合同协议书复印件（应包括合同首页、合同内容页、合同签订日期页、合同签字盖章页等相关证明页）。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对监理工作范围和任务理解</w:t>
            </w:r>
          </w:p>
        </w:tc>
        <w:tc>
          <w:tcPr>
            <w:tcW w:type="dxa" w:w="2492"/>
          </w:tcPr>
          <w:p>
            <w:pPr>
              <w:pStyle w:val="null3"/>
            </w:pPr>
            <w:r>
              <w:rPr>
                <w:rFonts w:ascii="仿宋_GB2312" w:hAnsi="仿宋_GB2312" w:cs="仿宋_GB2312" w:eastAsia="仿宋_GB2312"/>
              </w:rPr>
              <w:t>对监理工作范围和任务理解（满分 18 分）： ①监理范围；②监理内容；③监理依据；④工作目标；⑤监理机构设置及岗位职责；⑥监理工作程序及方案。 赋分标准：此项共 6 条，各条方案内容完全满足采购需求计3分；方案内容基本满足但不完善计2分；方案内容不详尽或不适用于本项目计1分。以上内容每一项分值满分为3分，若缺一项则对应分项不得分；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监理工作重点难点分析</w:t>
            </w:r>
          </w:p>
        </w:tc>
        <w:tc>
          <w:tcPr>
            <w:tcW w:type="dxa" w:w="2492"/>
          </w:tcPr>
          <w:p>
            <w:pPr>
              <w:pStyle w:val="null3"/>
            </w:pPr>
            <w:r>
              <w:rPr>
                <w:rFonts w:ascii="仿宋_GB2312" w:hAnsi="仿宋_GB2312" w:cs="仿宋_GB2312" w:eastAsia="仿宋_GB2312"/>
              </w:rPr>
              <w:t>监理工作重点难点分析（满分16分）： ①重难点问题的产生；②对重难点问题的分析；③重难点解决方案；④关键环节问题。 赋分标准：此项共 4 条，各条方案内容完全满足采购需求计4分；方案内容较满足采购需求计3分；方案内容基本满足但不完善计2分；方案内容不详尽或不适用于本项目计1分。以上内容每一项分值满分为4分，若缺一项则对应分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投标供应商认为有必要补充说明的事项.docx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监理质量、进度、保密等保障措施</w:t>
            </w:r>
          </w:p>
        </w:tc>
        <w:tc>
          <w:tcPr>
            <w:tcW w:type="dxa" w:w="2492"/>
          </w:tcPr>
          <w:p>
            <w:pPr>
              <w:pStyle w:val="null3"/>
            </w:pPr>
            <w:r>
              <w:rPr>
                <w:rFonts w:ascii="仿宋_GB2312" w:hAnsi="仿宋_GB2312" w:cs="仿宋_GB2312" w:eastAsia="仿宋_GB2312"/>
              </w:rPr>
              <w:t>监理质量、进度、保密等保障措施（满分 20 分）： ①质量保障措施；②进度计划及保障措施；③安全保障措施；④保密措施；⑤后续相关服务保障措施。 赋分标准：此项共 5 条，各条方案内容完全满足采购需求计4分；方案内容较满足采购需求计3分；方案内容基本满足但不完善计2分；方案内容不详尽或不适用于本项目计1分。以上内容每一项分值满分为4分，若缺一项则对应分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详见附件：投标供应商认为有必要补充说明的事项.docx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