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版本号：pz-hzzc-028.1B120260104001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2026年革命老区建设项目隆基学堂内部陈列布展及周边环境整治设施配套工程(二次)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pz-hzzc-028.1B1</w:t>
      </w:r>
      <w:r>
        <w:br/>
      </w:r>
      <w:r>
        <w:br/>
      </w:r>
      <w:r>
        <w:br/>
      </w:r>
    </w:p>
    <w:p>
      <w:pPr>
        <w:pStyle w:val="null3"/>
        <w:jc w:val="center"/>
        <w:outlineLvl w:val="2"/>
      </w:pPr>
      <w:r>
        <w:rPr>
          <w:rFonts w:ascii="仿宋_GB2312" w:hAnsi="仿宋_GB2312" w:cs="仿宋_GB2312" w:eastAsia="仿宋_GB2312"/>
          <w:sz w:val="28"/>
          <w:b/>
        </w:rPr>
        <w:t>西乡县柳树镇人民政府</w:t>
      </w:r>
    </w:p>
    <w:p>
      <w:pPr>
        <w:pStyle w:val="null3"/>
        <w:jc w:val="center"/>
        <w:outlineLvl w:val="2"/>
      </w:pPr>
      <w:r>
        <w:rPr>
          <w:rFonts w:ascii="仿宋_GB2312" w:hAnsi="仿宋_GB2312" w:cs="仿宋_GB2312" w:eastAsia="仿宋_GB2312"/>
          <w:sz w:val="28"/>
          <w:b/>
        </w:rPr>
        <w:t>品智工程咨询有限公司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品智工程咨询有限公司</w:t>
      </w:r>
      <w:r>
        <w:rPr>
          <w:rFonts w:ascii="仿宋_GB2312" w:hAnsi="仿宋_GB2312" w:cs="仿宋_GB2312" w:eastAsia="仿宋_GB2312"/>
        </w:rPr>
        <w:t>（以下简称“代理机构”）受</w:t>
      </w:r>
      <w:r>
        <w:rPr>
          <w:rFonts w:ascii="仿宋_GB2312" w:hAnsi="仿宋_GB2312" w:cs="仿宋_GB2312" w:eastAsia="仿宋_GB2312"/>
        </w:rPr>
        <w:t>西乡县柳树镇人民政府</w:t>
      </w:r>
      <w:r>
        <w:rPr>
          <w:rFonts w:ascii="仿宋_GB2312" w:hAnsi="仿宋_GB2312" w:cs="仿宋_GB2312" w:eastAsia="仿宋_GB2312"/>
        </w:rPr>
        <w:t>委托，拟对</w:t>
      </w:r>
      <w:r>
        <w:rPr>
          <w:rFonts w:ascii="仿宋_GB2312" w:hAnsi="仿宋_GB2312" w:cs="仿宋_GB2312" w:eastAsia="仿宋_GB2312"/>
        </w:rPr>
        <w:t>2026年革命老区建设项目隆基学堂内部陈列布展及周边环境整治设施配套工程(二次)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pz-hzzc-028.1B1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2026年革命老区建设项目隆基学堂内部陈列布展及周边环境整治设施配套工程(二次)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2026年革命老区建设项目隆基学堂内部陈列布展工程建设地点位于西乡县柳树镇，主要建设内容有：第一包，隆基学堂内部装饰装修及陈列布展，包含室内夯土漆墙面、石膏板装饰墙面、石膏板吊顶、顶面艺术灰泥、艺术品装置、美陈定制、家具及软装工程等；第二包，隆基学堂东侧景观活动区、绿化种植区、石板道路，南侧上山步道，西侧排水沟，北侧绿植种植区，池塘周边环境，停车场区域等环境整治，塘库治理，停车场整治。一次采购完成第二包的采购工作，现对第一包进行二次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采购包1（内部陈列布展）：属于专门面向中小企业采购。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1、企业资质要求：供应商须具备建筑工程施工总承包三级及以上资质或建筑装饰装修工程专业承包二级及以上资质，并具备有效的安全生产许可证；</w:t>
      </w:r>
    </w:p>
    <w:p>
      <w:pPr>
        <w:pStyle w:val="null3"/>
      </w:pPr>
      <w:r>
        <w:rPr>
          <w:rFonts w:ascii="仿宋_GB2312" w:hAnsi="仿宋_GB2312" w:cs="仿宋_GB2312" w:eastAsia="仿宋_GB2312"/>
        </w:rPr>
        <w:t>2、项目负责人要求：拟派项目经理须具有建筑工程专业二级及以上注册建造师资格和有效的安全考核合格证书，且无在建工程(出具无在建承诺书）。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西乡县柳树镇人民政府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西乡县柳树镇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西乡县柳树镇人民政府经办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13891628862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品智工程咨询有限公司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汉中市西乡县汉白路与梅苑路交叉口东80米院内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李文全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13891694366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王文德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13991614866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采购包1：764,200.73元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代理服务费收费标准：代理服务收费标准及金额:参照国家计委颁布的《招标代理服务收费管理暂行办法》（计价格[2002]1980号）及发改办价格[2003]857号文件规定的标准收取。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西乡县柳树镇人民政府</w:t>
      </w:r>
      <w:r>
        <w:rPr>
          <w:rFonts w:ascii="仿宋_GB2312" w:hAnsi="仿宋_GB2312" w:cs="仿宋_GB2312" w:eastAsia="仿宋_GB2312"/>
        </w:rPr>
        <w:t>和</w:t>
      </w:r>
      <w:r>
        <w:rPr>
          <w:rFonts w:ascii="仿宋_GB2312" w:hAnsi="仿宋_GB2312" w:cs="仿宋_GB2312" w:eastAsia="仿宋_GB2312"/>
        </w:rPr>
        <w:t>品智工程咨询有限公司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西乡县柳树镇人民政府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品智工程咨询有限公司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西乡县柳树镇人民政府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品智工程咨询有限公司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联系人：李文全</w:t>
      </w:r>
    </w:p>
    <w:p>
      <w:pPr>
        <w:pStyle w:val="null3"/>
      </w:pPr>
      <w:r>
        <w:rPr>
          <w:rFonts w:ascii="仿宋_GB2312" w:hAnsi="仿宋_GB2312" w:cs="仿宋_GB2312" w:eastAsia="仿宋_GB2312"/>
        </w:rPr>
        <w:t>联系电话：13891694366</w:t>
      </w:r>
    </w:p>
    <w:p>
      <w:pPr>
        <w:pStyle w:val="null3"/>
      </w:pPr>
      <w:r>
        <w:rPr>
          <w:rFonts w:ascii="仿宋_GB2312" w:hAnsi="仿宋_GB2312" w:cs="仿宋_GB2312" w:eastAsia="仿宋_GB2312"/>
        </w:rPr>
        <w:t>地址：汉中市西乡县汉白路与梅苑路交叉口东80米院内</w:t>
      </w:r>
    </w:p>
    <w:p>
      <w:pPr>
        <w:pStyle w:val="null3"/>
      </w:pPr>
      <w:r>
        <w:rPr>
          <w:rFonts w:ascii="仿宋_GB2312" w:hAnsi="仿宋_GB2312" w:cs="仿宋_GB2312" w:eastAsia="仿宋_GB2312"/>
        </w:rPr>
        <w:t>邮编：723500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764,200.73</w:t>
      </w:r>
    </w:p>
    <w:p>
      <w:pPr>
        <w:pStyle w:val="null3"/>
      </w:pPr>
      <w:r>
        <w:rPr>
          <w:rFonts w:ascii="仿宋_GB2312" w:hAnsi="仿宋_GB2312" w:cs="仿宋_GB2312" w:eastAsia="仿宋_GB2312"/>
        </w:rPr>
        <w:t>采购包最高限价（元）: 764,200.73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室内陈列及周边配套</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764,200.73</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标的名称：室内陈列及周边配套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达到国家验收合格标准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2024年度经审计的财务报告（包含审计报告和审计报告中所涉及的财务报表和报表附注），②可提供2024年度供应商完整的全套财务报表（应当包括资产负债表、利润表、现金流量表、所有者权益变动表、附注），③可提供截至相应文件提交截止日一年内银行出具的资信证明，④供应商注册时间截至相应文件提交截止日不足一年的，也可提供在工商管理部门备案的公司章程。</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供应商须具备建筑工程施工总承包三级及以上资质或建筑装饰装修工程专业承包二级及以上资质，并具备有效的安全生产许可证；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项目负责人要求</w:t>
            </w:r>
          </w:p>
        </w:tc>
        <w:tc>
          <w:tcPr>
            <w:tcW w:type="dxa" w:w="3322"/>
          </w:tcPr>
          <w:p>
            <w:pPr>
              <w:pStyle w:val="null3"/>
            </w:pPr>
            <w:r>
              <w:rPr>
                <w:rFonts w:ascii="仿宋_GB2312" w:hAnsi="仿宋_GB2312" w:cs="仿宋_GB2312" w:eastAsia="仿宋_GB2312"/>
              </w:rPr>
              <w:t>拟派项目经理须具有建筑工程专业二级及以上注册建造师资格和有效的安全考核合格证书，且无在建工程(出具无在建承诺书）。</w:t>
            </w:r>
          </w:p>
        </w:tc>
        <w:tc>
          <w:tcPr>
            <w:tcW w:type="dxa" w:w="1661"/>
          </w:tcPr>
          <w:p>
            <w:pPr>
              <w:pStyle w:val="null3"/>
            </w:pPr>
            <w:r>
              <w:rPr>
                <w:rFonts w:ascii="仿宋_GB2312" w:hAnsi="仿宋_GB2312" w:cs="仿宋_GB2312" w:eastAsia="仿宋_GB2312"/>
              </w:rPr>
              <w:t>项目管理机构组成表 响应函 主要人员简历表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文件签字盖章</w:t>
            </w:r>
          </w:p>
        </w:tc>
        <w:tc>
          <w:tcPr>
            <w:tcW w:type="dxa" w:w="3322"/>
          </w:tcPr>
          <w:p>
            <w:pPr>
              <w:pStyle w:val="null3"/>
            </w:pPr>
            <w:r>
              <w:rPr>
                <w:rFonts w:ascii="仿宋_GB2312" w:hAnsi="仿宋_GB2312" w:cs="仿宋_GB2312" w:eastAsia="仿宋_GB2312"/>
              </w:rPr>
              <w:t>文件签字盖章处按照文件格式进行签章</w:t>
            </w:r>
          </w:p>
        </w:tc>
        <w:tc>
          <w:tcPr>
            <w:tcW w:type="dxa" w:w="1661"/>
          </w:tcPr>
          <w:p>
            <w:pPr>
              <w:pStyle w:val="null3"/>
            </w:pPr>
            <w:r>
              <w:rPr>
                <w:rFonts w:ascii="仿宋_GB2312" w:hAnsi="仿宋_GB2312" w:cs="仿宋_GB2312" w:eastAsia="仿宋_GB2312"/>
              </w:rPr>
              <w:t>响应文件封面 项目管理机构组成表 中小企业声明函 报价函 技术服务合同条款及其他商务要求应答表 供应商应提交的相关资格证明材料 供应商类似项目业绩一览表 资格证明材料.docx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施工方案全面、合理，施工方法先进，可行性强，完全满足工程施工要求的得（8.0--12.0）分； 施工方案全面、合理，施工方法较先进，有一定的可行性，能满足工程施工要求的得（4.0-7.9）分； 施工方案存在部分不完整，施工方法针对本项目基本可行的得（1.0-3.9）分； 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有清晰合理的工期计划措施，实施进度安排合理，可行性强，具有详细明确的实施进度计划表，能够确保工程如期保质完成的得（8.0--12.0）分； 进度安排合理，有一定的可行性，实施进度计划基本明确的能够基本保证项目如期完成的得（4.0-7.9）分； 进度安排合理性、可行性均较差的得（1.0-3.9）； 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措施完整全面，能够从多方面保证安全生产，且合理性、可行性强的得（8.0--12.0）分； 措施基本完整全面，能从多个方面确保安全生产，基本合理、可行的得（4.0-7.9）分； 措施不完整、全面，但有一定的可行性的得（1.0-3.9）分； 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确保文明施工的技术措施及环境保护措施</w:t>
            </w:r>
          </w:p>
        </w:tc>
        <w:tc>
          <w:tcPr>
            <w:tcW w:type="dxa" w:w="2492"/>
          </w:tcPr>
          <w:p>
            <w:pPr>
              <w:pStyle w:val="null3"/>
            </w:pPr>
            <w:r>
              <w:rPr>
                <w:rFonts w:ascii="仿宋_GB2312" w:hAnsi="仿宋_GB2312" w:cs="仿宋_GB2312" w:eastAsia="仿宋_GB2312"/>
              </w:rPr>
              <w:t>措施全面、完整，能从多方面确保文明施工、考虑影响环境得因素，并提出相关解决和防治措施，实施度高、可落地性强，可确保达到环境保护的要求得（8.0--12.0）分； 措施基本全面、完整，基本有一定的可行性，能基本满足文明施工、环境保护要求的得（4.0-7.9）分 措施存在较大不合理性、内容简单的得（1.0-3.9）分； 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有清晰合理的工期计划措施，实施进度安排合理，可行性强，具有详细明确的实施进度计划表，能够确保工程如期保质完成的得（8.0--12.0）分； 进度安排合理，有一定的可行性，实施进度计划基本明确的能够基本保证项目如期完成的得（4.0-7.9）分； 进度安排合理性、可行性均较差的得（1.0-3.9）分； 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企业类似项目业绩</w:t>
            </w:r>
          </w:p>
        </w:tc>
        <w:tc>
          <w:tcPr>
            <w:tcW w:type="dxa" w:w="2492"/>
          </w:tcPr>
          <w:p>
            <w:pPr>
              <w:pStyle w:val="null3"/>
            </w:pPr>
            <w:r>
              <w:rPr>
                <w:rFonts w:ascii="仿宋_GB2312" w:hAnsi="仿宋_GB2312" w:cs="仿宋_GB2312" w:eastAsia="仿宋_GB2312"/>
              </w:rPr>
              <w:t>2022年1月至今，投标企业，承担过类似项目业绩，以合同或中标/成交通知书复印件并加盖单位公章为准，否则不得分。 每有1项得3分，最高得3分。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项目负责人类似业绩</w:t>
            </w:r>
          </w:p>
        </w:tc>
        <w:tc>
          <w:tcPr>
            <w:tcW w:type="dxa" w:w="2492"/>
          </w:tcPr>
          <w:p>
            <w:pPr>
              <w:pStyle w:val="null3"/>
            </w:pPr>
            <w:r>
              <w:rPr>
                <w:rFonts w:ascii="仿宋_GB2312" w:hAnsi="仿宋_GB2312" w:cs="仿宋_GB2312" w:eastAsia="仿宋_GB2312"/>
              </w:rPr>
              <w:t>2022年1月至今，项目负责人，承担过类似项目业绩，以合同或中标/成交通知书为准，否则不得分。 每有1项得2分，最高得2分。 注：项目负责人业绩为本公司业绩，可以累加到企业业绩。</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项目负责人职称</w:t>
            </w:r>
          </w:p>
        </w:tc>
        <w:tc>
          <w:tcPr>
            <w:tcW w:type="dxa" w:w="2492"/>
          </w:tcPr>
          <w:p>
            <w:pPr>
              <w:pStyle w:val="null3"/>
            </w:pPr>
            <w:r>
              <w:rPr>
                <w:rFonts w:ascii="仿宋_GB2312" w:hAnsi="仿宋_GB2312" w:cs="仿宋_GB2312" w:eastAsia="仿宋_GB2312"/>
              </w:rPr>
              <w:t>具备高级职称得 4 分，中级职称得 2分。 项目负责人以职称证（高级）取得的时间为准，超过五年的加1分，最高得5分。 未提供的不得分。 注：以投标单位加盖公章的职称证复印件证明材料为准，职称证原件备查。</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以实质性满足招标文件要求的最低投标价格为基准值，投标报价得分=（评标基准价/投标报价）×30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