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版本号：ZYGJ-HZZC-260120260109001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餐厅楼改造二期工程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ZYGJ-HZZC-2601</w:t>
      </w:r>
      <w:r>
        <w:br/>
      </w:r>
      <w:r>
        <w:br/>
      </w:r>
      <w:r>
        <w:br/>
      </w:r>
    </w:p>
    <w:p>
      <w:pPr>
        <w:pStyle w:val="null3"/>
        <w:jc w:val="center"/>
        <w:outlineLvl w:val="2"/>
      </w:pPr>
      <w:r>
        <w:rPr>
          <w:rFonts w:ascii="仿宋_GB2312" w:hAnsi="仿宋_GB2312" w:cs="仿宋_GB2312" w:eastAsia="仿宋_GB2312"/>
          <w:sz w:val="28"/>
          <w:b/>
        </w:rPr>
        <w:t>西乡县城北附属幼儿园</w:t>
      </w:r>
    </w:p>
    <w:p>
      <w:pPr>
        <w:pStyle w:val="null3"/>
        <w:jc w:val="center"/>
        <w:outlineLvl w:val="2"/>
      </w:pPr>
      <w:r>
        <w:rPr>
          <w:rFonts w:ascii="仿宋_GB2312" w:hAnsi="仿宋_GB2312" w:cs="仿宋_GB2312" w:eastAsia="仿宋_GB2312"/>
          <w:sz w:val="28"/>
          <w:b/>
        </w:rPr>
        <w:t>众赢国际咨询有限责任公司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众赢国际咨询有限责任公司</w:t>
      </w:r>
      <w:r>
        <w:rPr>
          <w:rFonts w:ascii="仿宋_GB2312" w:hAnsi="仿宋_GB2312" w:cs="仿宋_GB2312" w:eastAsia="仿宋_GB2312"/>
        </w:rPr>
        <w:t>（以下简称“代理机构”）受</w:t>
      </w:r>
      <w:r>
        <w:rPr>
          <w:rFonts w:ascii="仿宋_GB2312" w:hAnsi="仿宋_GB2312" w:cs="仿宋_GB2312" w:eastAsia="仿宋_GB2312"/>
        </w:rPr>
        <w:t>西乡县城北附属幼儿园</w:t>
      </w:r>
      <w:r>
        <w:rPr>
          <w:rFonts w:ascii="仿宋_GB2312" w:hAnsi="仿宋_GB2312" w:cs="仿宋_GB2312" w:eastAsia="仿宋_GB2312"/>
        </w:rPr>
        <w:t>委托，拟对</w:t>
      </w:r>
      <w:r>
        <w:rPr>
          <w:rFonts w:ascii="仿宋_GB2312" w:hAnsi="仿宋_GB2312" w:cs="仿宋_GB2312" w:eastAsia="仿宋_GB2312"/>
        </w:rPr>
        <w:t>餐厅楼改造二期工程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ZYGJ-HZZC-2601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餐厅楼改造二期工程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1、室内电缆二次升华。(①WDZNB1-BYJ-35平方铜芯电线32m。②WDZNB1-BYJ-16平方铜芯电线48m。③WDZNB1-BYJ-10平方铜芯电线255m。④WDZNB1-BYJ-6平方铜芯电线225m。⑤WDZNB1-BYJ-4平方铜芯电线900m。) 2、新增甲级防火门(1500*2400)一樘。 3、新增玻璃门20.52m2。 4、室外花池整改、原基层凹凸不平需找平处理。 5、新增室外强电(电缆①YJV220-0.6/1KV-4*70+1*35,小计52m。②YJV220-0.6/1KV-4*35+1*16,小计46m。③YJV220-0.6/1Kv-4*50+1*25,小计 68m。④YJV220-0.6/1KV-4*16+1*10,小计62m。⑤双电源开WATSN-125/4p,1台。⑥双电源开关WATSN-160/4p,1台)。 6、新钢结构增器材室1间等。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1、供应商资质要求：具备建筑工程施工总承包三级及以上资质并具备有效的安全生产许可证</w:t>
      </w:r>
    </w:p>
    <w:p>
      <w:pPr>
        <w:pStyle w:val="null3"/>
      </w:pPr>
      <w:r>
        <w:rPr>
          <w:rFonts w:ascii="仿宋_GB2312" w:hAnsi="仿宋_GB2312" w:cs="仿宋_GB2312" w:eastAsia="仿宋_GB2312"/>
        </w:rPr>
        <w:t>2、拟派项目负责人资质和专业要求。：证书等级：二级级以上注册建造师证书 专业：建筑工程 补充说明：具有有效的安全考核合格证书，且无在建工程(出具无在建承诺书）并进行电子签章。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西乡县城北附属幼儿园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西乡县城北办北环路附溪村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15336186530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众赢国际咨询有限责任公司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陕西省汉中市汉台区悦景湾门面房四单元二楼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18391650861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采购包1：259,440.84元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西乡县城北附属幼儿园</w:t>
      </w:r>
      <w:r>
        <w:rPr>
          <w:rFonts w:ascii="仿宋_GB2312" w:hAnsi="仿宋_GB2312" w:cs="仿宋_GB2312" w:eastAsia="仿宋_GB2312"/>
        </w:rPr>
        <w:t>和</w:t>
      </w:r>
      <w:r>
        <w:rPr>
          <w:rFonts w:ascii="仿宋_GB2312" w:hAnsi="仿宋_GB2312" w:cs="仿宋_GB2312" w:eastAsia="仿宋_GB2312"/>
        </w:rPr>
        <w:t>众赢国际咨询有限责任公司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西乡县城北附属幼儿园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众赢国际咨询有限责任公司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西乡县城北附属幼儿园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众赢国际咨询有限责任公司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以国家验收合格相关标准及供应商响应文件及磋商过程中承诺为准，如有不同从其要求高者为准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联系电话：18391650861</w:t>
      </w:r>
    </w:p>
    <w:p>
      <w:pPr>
        <w:pStyle w:val="null3"/>
      </w:pPr>
      <w:r>
        <w:rPr>
          <w:rFonts w:ascii="仿宋_GB2312" w:hAnsi="仿宋_GB2312" w:cs="仿宋_GB2312" w:eastAsia="仿宋_GB2312"/>
        </w:rPr>
        <w:t>地址： 陕西省汉中市汉台区悦景湾门面房四单元二楼众赢国际咨询有限责任公司</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259,440.84</w:t>
      </w:r>
    </w:p>
    <w:p>
      <w:pPr>
        <w:pStyle w:val="null3"/>
      </w:pPr>
      <w:r>
        <w:rPr>
          <w:rFonts w:ascii="仿宋_GB2312" w:hAnsi="仿宋_GB2312" w:cs="仿宋_GB2312" w:eastAsia="仿宋_GB2312"/>
        </w:rPr>
        <w:t>采购包最高限价（元）: 259,440.84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幼儿园餐厅楼改造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259,440.84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标的名称：幼儿园餐厅楼改造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施工工期30日历天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具备建筑工程施工总承包三级及以上资质并具备有效的安全生产许可证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证书等级：二级级以上注册建造师证书 专业：建筑工程 补充说明：具有有效的安全考核合格证书，且无在建工程(出具无在建承诺书）并进行电子签章。</w:t>
            </w:r>
          </w:p>
        </w:tc>
        <w:tc>
          <w:tcPr>
            <w:tcW w:type="dxa" w:w="1661"/>
          </w:tcPr>
          <w:p>
            <w:pPr>
              <w:pStyle w:val="null3"/>
            </w:pPr>
            <w:r>
              <w:rPr>
                <w:rFonts w:ascii="仿宋_GB2312" w:hAnsi="仿宋_GB2312" w:cs="仿宋_GB2312" w:eastAsia="仿宋_GB2312"/>
              </w:rPr>
              <w:t>项目管理机构组成表 资格证明材料.docx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施工工期30日历天</w:t>
            </w:r>
          </w:p>
        </w:tc>
        <w:tc>
          <w:tcPr>
            <w:tcW w:type="dxa" w:w="1661"/>
          </w:tcPr>
          <w:p>
            <w:pPr>
              <w:pStyle w:val="null3"/>
            </w:pPr>
            <w:r>
              <w:rPr>
                <w:rFonts w:ascii="仿宋_GB2312" w:hAnsi="仿宋_GB2312" w:cs="仿宋_GB2312" w:eastAsia="仿宋_GB2312"/>
              </w:rPr>
              <w:t>响应文件封面 技术方案.docx 技术服务合同条款及其他商务要求应答表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主要内容及签章</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供应商应提交的相关资格证明材料 供应商类似项目业绩一览表 资格证明材料.docx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一、评审内容：供应商针对本项目编制完善的施工方案，内容包含：①施工方案的编制依据；②施工方案的整体规划；③施工方案的具体施工项目的陈述。 二、评审标准 ：1、完整性：方案必须全面，对评审内容中的各项要求有详细描述； 2、可实施性：切合本项目实际情况，提出步骤清晰、合理的方案； 3、针对性：方案能够紧扣项目实际情况，内容科学合理。 三、赋分标准 （满分12分）： ①施工方案的编制依据：提供具体内容得1分，不提供者不得分，另外在此基础上每完全满足一个评审标准得1分，满分4分； ②施工方案的整体规划：提供具体内容得1分，不提供者不得分，另外在此基础上每完全满足一个评审标准得1分，满分4分； ③施工方案的具体施工项目的陈述：提供具体内容得1分，不提供者不得分，另外在此基础上每完全满足一个评审标准得1 分，满分4分；④未提供者不得分。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（满分12分）： ①施工质量检验制度：提供具体内容得1分，不提供者不得分，另外在此基础上每完全满足一个评审标准得1分，满分4分； ②确保质量的技术组织措施：提供具体内容得1分，不提供者不得分，另外在此基础上每完全满足一个评审标准得1分，满分4分； ③施工质量控制措施：提供具体内容得1分，不提供者不得分，另外在此基础上每完全满足一个评审标准得1 分，满分4分；④未提供者不得分。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一、评审内容：供应商针对本项目编制完善的确保安全生产的技术组织措施，内容包含：①确保施工安全的制度；②确保施工安全的组织措施；③确保施工安全控制措施。 二、评审标准 ：1、完整性：方案必须全面，对评审内容中的各项要求有详细描述； 2、可实施性：切合本项目实际情况，提出步骤清晰、合理的方案； 3、针对性：方案能够紧扣项目实际情况，内容科学合理。 三、赋分标准 （满分12分）：①确保施工安全的制度：提供具体内容得1分，不提供者不得分，另外在此基础上每完全满足一个评审标准得1分，满分4分； ②确保施工安全的组织措施：提供具体内容得1分，不提供者不得分，另外在此基础上每完全满足一个评审标准得1分，满分4分； ③确保施工安全控制措施：提供具体内容得1分，不提供者不得分，另外在此基础上每完全满足一个评审标准得1 分，满分4分；④未提供者不得分。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一、评审内容：供应商针对本项目编制完善的确保安全生产的技术组织措施，内容包含：①确保文明施工及环境保护的制度；②确保文明施工及环境保护的组织措施；③确保文明施工及环境保护控制措施。 二、评审标准 ：1、完整性：方案必须全面，对评审内容中的各项要求有详细描述； 2、可实施性：切合本项目实际情况，提出步骤清晰、合理的方案； 3、针对性：方案能够紧扣项目实际情况，内容科学合理。 三、赋分标准 （满分12分）：①确保文明施工及环境保护的制度：提供具体内容得1分，不提供者不得分，另外在此基础上每完全满足一个评审标准得1分，满分4分； ②确保文明施工及环境保护的组织措施：提供具体内容得1分，不提供者不得分，另外在此基础上每完全满足一个评审标准得1分，满分4分； ③确保文明施工及环境保护控制措施：提供具体内容得1分，不提供者不得分，另外在此基础上每完全满足一个评审标准得1 分，满分4分；④未提供者不得分。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一、评审内容：供应商针对本项目编制完善的工期计划措施，内容包含：①计划施工工期的横道图或计划表；②确保施工工期的技术组织措施；③施工工期控制措施。 二、评审标准 ：1、完整性：方案必须全面，对评审内容中的各项要求有详细描述； 2、可实施性：切合本项目实际情况，提出步骤清晰、合理的方案； 3、针对性：方案能够紧扣项目实际情况，内容科学合理。 三、赋分标准 （满分12分）： ①计划施工工期的横道图或计划表：提供具体内容得1分，不提供者不得分，另外在此基础上每完全满足一个评审标准得1分，满分4分； ②确保施工工期的技术组织措施：提供具体内容得1分，不提供者不得分，另外在此基础上每完全满足一个评审标准得1分，满分4分； ③施工工期控制措施：提供具体内容得1分，不提供者不得分，另外在此基础上每完全满足一个评审标准得1 分，满分4分；④未提供者不得分。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2023年1月至今，响应供应商承担过类似项目业绩，以合同或中标/成交通知书复印件并加盖单位公章为准，否则不得分。每有1项得3分，最高得3分。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拟派项目负责人业绩</w:t>
            </w:r>
          </w:p>
        </w:tc>
        <w:tc>
          <w:tcPr>
            <w:tcW w:type="dxa" w:w="2492"/>
          </w:tcPr>
          <w:p>
            <w:pPr>
              <w:pStyle w:val="null3"/>
            </w:pPr>
            <w:r>
              <w:rPr>
                <w:rFonts w:ascii="仿宋_GB2312" w:hAnsi="仿宋_GB2312" w:cs="仿宋_GB2312" w:eastAsia="仿宋_GB2312"/>
              </w:rPr>
              <w:t>2023年1月至今，响应供应商拟派项目负责人，承担过类似项目业绩以合同或中标/成交通知书为准，否则不得分。每有1项得2分，最高得2分。注:项目负责人业绩为本公司业绩，可以累加到企业业绩。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拟派项目负责人具备高级职称得4分，中级职称得2分。项目负责人以职称证(高级)取得的时间为准，超过五年的加1分，最高得5分。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价格评分满分为30分，以实质性满足招标文件要求的最低投标价格为基准值，投标报价得分=(评标基准价/投标报价)x30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