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版本号：2026-HZRY-ZFCG-00120260213001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西乡县2026年村道安全生命防护工程设计服务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2026-HZRY-ZFCG-001</w:t>
      </w:r>
      <w:r>
        <w:br/>
      </w:r>
      <w:r>
        <w:br/>
      </w:r>
      <w:r>
        <w:br/>
      </w:r>
    </w:p>
    <w:p>
      <w:pPr>
        <w:pStyle w:val="null3"/>
        <w:jc w:val="center"/>
        <w:outlineLvl w:val="2"/>
      </w:pPr>
      <w:r>
        <w:rPr>
          <w:rFonts w:ascii="仿宋_GB2312" w:hAnsi="仿宋_GB2312" w:cs="仿宋_GB2312" w:eastAsia="仿宋_GB2312"/>
          <w:sz w:val="28"/>
          <w:b/>
        </w:rPr>
        <w:t>西乡县农村公路管理站</w:t>
      </w:r>
    </w:p>
    <w:p>
      <w:pPr>
        <w:pStyle w:val="null3"/>
        <w:jc w:val="center"/>
        <w:outlineLvl w:val="2"/>
      </w:pPr>
      <w:r>
        <w:rPr>
          <w:rFonts w:ascii="仿宋_GB2312" w:hAnsi="仿宋_GB2312" w:cs="仿宋_GB2312" w:eastAsia="仿宋_GB2312"/>
          <w:sz w:val="28"/>
          <w:b/>
        </w:rPr>
        <w:t>汉中睿源工程咨询有限公司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汉中睿源工程咨询有限公司</w:t>
      </w:r>
      <w:r>
        <w:rPr>
          <w:rFonts w:ascii="仿宋_GB2312" w:hAnsi="仿宋_GB2312" w:cs="仿宋_GB2312" w:eastAsia="仿宋_GB2312"/>
        </w:rPr>
        <w:t>（以下简称“代理机构”）受</w:t>
      </w:r>
      <w:r>
        <w:rPr>
          <w:rFonts w:ascii="仿宋_GB2312" w:hAnsi="仿宋_GB2312" w:cs="仿宋_GB2312" w:eastAsia="仿宋_GB2312"/>
        </w:rPr>
        <w:t>西乡县农村公路管理站</w:t>
      </w:r>
      <w:r>
        <w:rPr>
          <w:rFonts w:ascii="仿宋_GB2312" w:hAnsi="仿宋_GB2312" w:cs="仿宋_GB2312" w:eastAsia="仿宋_GB2312"/>
        </w:rPr>
        <w:t>委托，拟对</w:t>
      </w:r>
      <w:r>
        <w:rPr>
          <w:rFonts w:ascii="仿宋_GB2312" w:hAnsi="仿宋_GB2312" w:cs="仿宋_GB2312" w:eastAsia="仿宋_GB2312"/>
        </w:rPr>
        <w:t>西乡县2026年村道安全生命防护工程设计服务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2026-HZRY-ZFCG-001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西乡县2026年村道安全生命防护工程设计服务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西乡县2026年村道安全生命防护工程提供设计服务，进行初步设计和施工图设计，并通过评审。西乡县2026年村道安全生命防护工程共计完善259条农村公路，处置隐患里程435.2公里，涉及白龙塘镇、白勉峡镇、茶镇、大河镇、高川镇、两河口镇、桑园镇、沙河镇、峡口镇、堰口镇、子午镇等11个镇，其中白龙塘镇实施处置隐患里程35.67公里，白勉峡镇实施处置隐患里程17.97公里，茶镇实施处置隐患里程52.72公里，大河镇实施处置隐患里程17.96公里，高川镇实施处置隐患里程31.73公里，两河口镇实施处置隐患里程37.20公里，桑园镇实施处置隐患里程42.61公里，沙河镇实施处置隐患里程50.78公里，峡口镇实施处置隐患里程13.75公里，堰口镇实施处置隐患里程78.48公里，子午镇实施处置隐患里程56.33公里。</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采购包1（西乡县2026年村道安全生命防护工程设计服务（白勉峡镇、茶镇、高川镇、两河口镇、堰口镇））：属于专门面向中小企业采购。</w:t>
      </w:r>
    </w:p>
    <w:p>
      <w:pPr>
        <w:pStyle w:val="null3"/>
      </w:pPr>
      <w:r>
        <w:rPr>
          <w:rFonts w:ascii="仿宋_GB2312" w:hAnsi="仿宋_GB2312" w:cs="仿宋_GB2312" w:eastAsia="仿宋_GB2312"/>
        </w:rPr>
        <w:t>采购包2（西乡县2026年村道安全生命防护工程设计服务（白龙塘镇、大河镇、桑园镇、沙河镇、峡口镇、子午镇））：属于专门面向中小企业采购。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特定资格要求2：供应商应授权合法的人员参与投标，其中法定代表人直接参加投标的，须出具法定代表人身份证明，并与营业执照上信息一致。法定代表人授权代表参与投标的，须出具法定代表人授权书、授权代表身份证；</w:t>
      </w:r>
    </w:p>
    <w:p>
      <w:pPr>
        <w:pStyle w:val="null3"/>
      </w:pPr>
      <w:r>
        <w:rPr>
          <w:rFonts w:ascii="仿宋_GB2312" w:hAnsi="仿宋_GB2312" w:cs="仿宋_GB2312" w:eastAsia="仿宋_GB2312"/>
        </w:rPr>
        <w:t>3、特定资格要求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pPr>
      <w:r>
        <w:rPr>
          <w:rFonts w:ascii="仿宋_GB2312" w:hAnsi="仿宋_GB2312" w:cs="仿宋_GB2312" w:eastAsia="仿宋_GB2312"/>
        </w:rPr>
        <w:t>4、特定资格要求4：供应商须具有工程设计专业资质公路行业（公路）设计丙级及以上资质。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1、特定资格要求1：具有独立承担民事责任能力的法人、其他组织或自然人，并出具合法有效的营业执照或事业单位法人证书等国家规定的相关证明，自然人参与的提供其身份证明；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特定资格要求2：供应商应授权合法的人员参与投标，其中法定代表人直接参加投标的，须出具法定代表人身份证明，并与营业执照上信息一致。法定代表人授权代表参与投标的，须出具法定代表人授权书、授权代表身份证；</w:t>
      </w:r>
    </w:p>
    <w:p>
      <w:pPr>
        <w:pStyle w:val="null3"/>
      </w:pPr>
      <w:r>
        <w:rPr>
          <w:rFonts w:ascii="仿宋_GB2312" w:hAnsi="仿宋_GB2312" w:cs="仿宋_GB2312" w:eastAsia="仿宋_GB2312"/>
        </w:rPr>
        <w:t>3、特定资格要求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pPr>
      <w:r>
        <w:rPr>
          <w:rFonts w:ascii="仿宋_GB2312" w:hAnsi="仿宋_GB2312" w:cs="仿宋_GB2312" w:eastAsia="仿宋_GB2312"/>
        </w:rPr>
        <w:t>4、特定资格要求4：供应商须具有工程设计专业资质公路行业（公路）设计丙级及以上资质。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西乡县农村公路管理站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西乡县莲花路北段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西乡县农村公路管理站经办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13488099935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汉中睿源工程咨询有限公司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陕西省汉中市汉台区明珠路8号汉府公馆办公楼1单元1002号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17612972921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采购包1：631,447.60元</w:t>
            </w:r>
          </w:p>
          <w:p>
            <w:pPr>
              <w:pStyle w:val="null3"/>
            </w:pPr>
            <w:r>
              <w:rPr>
                <w:rFonts w:ascii="仿宋_GB2312" w:hAnsi="仿宋_GB2312" w:cs="仿宋_GB2312" w:eastAsia="仿宋_GB2312"/>
              </w:rPr>
              <w:t>采购包2：628,552.40元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采购包2保证金金额：4,000.00元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开户名称：汉中睿源工程咨询有限公司</w:t>
            </w:r>
          </w:p>
          <w:p>
            <w:pPr>
              <w:pStyle w:val="null3"/>
            </w:pPr>
            <w:r>
              <w:rPr>
                <w:rFonts w:ascii="仿宋_GB2312" w:hAnsi="仿宋_GB2312" w:cs="仿宋_GB2312" w:eastAsia="仿宋_GB2312"/>
              </w:rPr>
              <w:t>开户银行：中国农业银行陕西汉中东大街支行</w:t>
            </w:r>
          </w:p>
          <w:p>
            <w:pPr>
              <w:pStyle w:val="null3"/>
            </w:pPr>
            <w:r>
              <w:rPr>
                <w:rFonts w:ascii="仿宋_GB2312" w:hAnsi="仿宋_GB2312" w:cs="仿宋_GB2312" w:eastAsia="仿宋_GB2312"/>
              </w:rPr>
              <w:t>银行账号：26651001040009607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代理服务费收费标准：依据国家计委颁发的《关于印发招标代理服务收费管理暂行办法》的通知（计价格〔2002〕1980号）文件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西乡县农村公路管理站</w:t>
      </w:r>
      <w:r>
        <w:rPr>
          <w:rFonts w:ascii="仿宋_GB2312" w:hAnsi="仿宋_GB2312" w:cs="仿宋_GB2312" w:eastAsia="仿宋_GB2312"/>
        </w:rPr>
        <w:t>和</w:t>
      </w:r>
      <w:r>
        <w:rPr>
          <w:rFonts w:ascii="仿宋_GB2312" w:hAnsi="仿宋_GB2312" w:cs="仿宋_GB2312" w:eastAsia="仿宋_GB2312"/>
        </w:rPr>
        <w:t>汉中睿源工程咨询有限公司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西乡县农村公路管理站</w:t>
      </w:r>
      <w:r>
        <w:rPr>
          <w:rFonts w:ascii="仿宋_GB2312" w:hAnsi="仿宋_GB2312" w:cs="仿宋_GB2312" w:eastAsia="仿宋_GB2312"/>
        </w:rPr>
        <w:t>负责解释。除上述招标文件内容，其他内容由</w:t>
      </w:r>
      <w:r>
        <w:rPr>
          <w:rFonts w:ascii="仿宋_GB2312" w:hAnsi="仿宋_GB2312" w:cs="仿宋_GB2312" w:eastAsia="仿宋_GB2312"/>
        </w:rPr>
        <w:t>汉中睿源工程咨询有限公司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西乡县农村公路管理站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汉中睿源工程咨询有限公司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参照合同约定与强制性规范执行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参照合同约定与强制性规范执行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汉中睿源工程咨询有限公司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汉中睿源工程咨询有限公司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汉中睿源工程咨询有限公司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联系人：汉中睿源工程咨询有限公司</w:t>
      </w:r>
    </w:p>
    <w:p>
      <w:pPr>
        <w:pStyle w:val="null3"/>
      </w:pPr>
      <w:r>
        <w:rPr>
          <w:rFonts w:ascii="仿宋_GB2312" w:hAnsi="仿宋_GB2312" w:cs="仿宋_GB2312" w:eastAsia="仿宋_GB2312"/>
        </w:rPr>
        <w:t>联系电话：17612972921</w:t>
      </w:r>
    </w:p>
    <w:p>
      <w:pPr>
        <w:pStyle w:val="null3"/>
      </w:pPr>
      <w:r>
        <w:rPr>
          <w:rFonts w:ascii="仿宋_GB2312" w:hAnsi="仿宋_GB2312" w:cs="仿宋_GB2312" w:eastAsia="仿宋_GB2312"/>
        </w:rPr>
        <w:t>地址：陕西省汉中市汉台区明珠路8号汉府公馆办公楼1单元1002室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西乡县2026年村道安全生命防护工程提供设计服务，进行初步设计和施工图设计，并通过评审。西乡县2026年村道安全生命防护工程共计完善259条农村公路，处置隐患里程435.2公里，涉及白龙塘镇、白勉峡镇、茶镇、大河镇、高川镇、两河口镇、桑园镇、沙河镇、峡口镇、堰口镇、子午镇等11个镇，其中白龙塘镇实施处置隐患里程35.67公里，白勉峡镇实施处置隐患里程17.97公里，茶镇实施处置隐患里程52.72公里，大河镇实施处置隐患里程17.96公里，高川镇实施处置隐患里程31.73公里，两河口镇实施处置隐患里程37.20公里，桑园镇实施处置隐患里程42.61公里，沙河镇实施处置隐患里程50.78公里，峡口镇实施处置隐患里程13.75公里，堰口镇实施处置隐患里程78.48公里，子午镇实施处置隐患里程56.33公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631,447.60</w:t>
      </w:r>
    </w:p>
    <w:p>
      <w:pPr>
        <w:pStyle w:val="null3"/>
      </w:pPr>
      <w:r>
        <w:rPr>
          <w:rFonts w:ascii="仿宋_GB2312" w:hAnsi="仿宋_GB2312" w:cs="仿宋_GB2312" w:eastAsia="仿宋_GB2312"/>
        </w:rPr>
        <w:t>采购包最高限价（元）: 631,447.60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西乡县2026年村道安全生命防护工程设计服务（白勉峡镇 茶镇 高川镇 两河口镇 堰口镇）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631,447.60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628,552.40</w:t>
      </w:r>
    </w:p>
    <w:p>
      <w:pPr>
        <w:pStyle w:val="null3"/>
      </w:pPr>
      <w:r>
        <w:rPr>
          <w:rFonts w:ascii="仿宋_GB2312" w:hAnsi="仿宋_GB2312" w:cs="仿宋_GB2312" w:eastAsia="仿宋_GB2312"/>
        </w:rPr>
        <w:t>采购包最高限价（元）: 628,552.40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西乡县2026年村道安全生命防护工程设计服务（白龙塘镇 大河镇 桑园镇 沙河镇 峡口镇 子午镇）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628,552.40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标的名称：西乡县2026年村道安全生命防护工程设计服务（白勉峡镇 茶镇 高川镇 两河口镇 堰口镇）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为西乡县</w:t>
            </w:r>
            <w:r>
              <w:rPr>
                <w:rFonts w:ascii="仿宋_GB2312" w:hAnsi="仿宋_GB2312" w:cs="仿宋_GB2312" w:eastAsia="仿宋_GB2312"/>
                <w:sz w:val="24"/>
              </w:rPr>
              <w:t>2026</w:t>
            </w:r>
            <w:r>
              <w:rPr>
                <w:rFonts w:ascii="仿宋_GB2312" w:hAnsi="仿宋_GB2312" w:cs="仿宋_GB2312" w:eastAsia="仿宋_GB2312"/>
                <w:sz w:val="24"/>
              </w:rPr>
              <w:t>年村道安全生命防护工程提供设计服务，涉及西乡县白勉峡镇、茶镇、高川镇、两河口镇、堰口镇共</w:t>
            </w:r>
            <w:r>
              <w:rPr>
                <w:rFonts w:ascii="仿宋_GB2312" w:hAnsi="仿宋_GB2312" w:cs="仿宋_GB2312" w:eastAsia="仿宋_GB2312"/>
                <w:sz w:val="24"/>
              </w:rPr>
              <w:t>138</w:t>
            </w:r>
            <w:r>
              <w:rPr>
                <w:rFonts w:ascii="仿宋_GB2312" w:hAnsi="仿宋_GB2312" w:cs="仿宋_GB2312" w:eastAsia="仿宋_GB2312"/>
                <w:sz w:val="24"/>
              </w:rPr>
              <w:t>条路线，</w:t>
            </w:r>
            <w:r>
              <w:rPr>
                <w:rFonts w:ascii="仿宋_GB2312" w:hAnsi="仿宋_GB2312" w:cs="仿宋_GB2312" w:eastAsia="仿宋_GB2312"/>
                <w:sz w:val="24"/>
              </w:rPr>
              <w:t>218.1</w:t>
            </w:r>
            <w:r>
              <w:rPr>
                <w:rFonts w:ascii="仿宋_GB2312" w:hAnsi="仿宋_GB2312" w:cs="仿宋_GB2312" w:eastAsia="仿宋_GB2312"/>
                <w:sz w:val="24"/>
              </w:rPr>
              <w:t>公里。</w:t>
            </w:r>
            <w:r>
              <w:rPr>
                <w:rFonts w:ascii="仿宋_GB2312" w:hAnsi="仿宋_GB2312" w:cs="仿宋_GB2312" w:eastAsia="仿宋_GB2312"/>
                <w:sz w:val="24"/>
              </w:rPr>
              <w:t>通过现场踏勘，提供初步设计和施工图设计，最终通过评审，验收合格。</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标的名称：西乡县2026年村道安全生命防护工程设计服务（白龙塘镇 大河镇 桑园镇 沙河镇 峡口镇 子午镇）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为西乡县</w:t>
            </w:r>
            <w:r>
              <w:rPr>
                <w:rFonts w:ascii="仿宋_GB2312" w:hAnsi="仿宋_GB2312" w:cs="仿宋_GB2312" w:eastAsia="仿宋_GB2312"/>
                <w:sz w:val="24"/>
              </w:rPr>
              <w:t>2026</w:t>
            </w:r>
            <w:r>
              <w:rPr>
                <w:rFonts w:ascii="仿宋_GB2312" w:hAnsi="仿宋_GB2312" w:cs="仿宋_GB2312" w:eastAsia="仿宋_GB2312"/>
                <w:sz w:val="24"/>
              </w:rPr>
              <w:t>年村道安全生命防护工程提供设计服务，涉及西乡县白龙塘镇、大河镇、桑园镇、沙河镇、峡口镇、子午镇共</w:t>
            </w:r>
            <w:r>
              <w:rPr>
                <w:rFonts w:ascii="仿宋_GB2312" w:hAnsi="仿宋_GB2312" w:cs="仿宋_GB2312" w:eastAsia="仿宋_GB2312"/>
                <w:sz w:val="24"/>
              </w:rPr>
              <w:t>121</w:t>
            </w:r>
            <w:r>
              <w:rPr>
                <w:rFonts w:ascii="仿宋_GB2312" w:hAnsi="仿宋_GB2312" w:cs="仿宋_GB2312" w:eastAsia="仿宋_GB2312"/>
                <w:sz w:val="24"/>
              </w:rPr>
              <w:t>条路线，</w:t>
            </w:r>
            <w:r>
              <w:rPr>
                <w:rFonts w:ascii="仿宋_GB2312" w:hAnsi="仿宋_GB2312" w:cs="仿宋_GB2312" w:eastAsia="仿宋_GB2312"/>
                <w:sz w:val="24"/>
              </w:rPr>
              <w:t>217.1</w:t>
            </w:r>
            <w:r>
              <w:rPr>
                <w:rFonts w:ascii="仿宋_GB2312" w:hAnsi="仿宋_GB2312" w:cs="仿宋_GB2312" w:eastAsia="仿宋_GB2312"/>
                <w:sz w:val="24"/>
              </w:rPr>
              <w:t>公里。</w:t>
            </w:r>
            <w:r>
              <w:rPr>
                <w:rFonts w:ascii="仿宋_GB2312" w:hAnsi="仿宋_GB2312" w:cs="仿宋_GB2312" w:eastAsia="仿宋_GB2312"/>
                <w:sz w:val="24"/>
              </w:rPr>
              <w:t>通过现场踏勘，提供初步设计和施工图设计，最终通过评审，验收合格。</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供应商应组建专业的服务团队，负责项目实施过程的控制及管理，明确项目负责人。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供应商应组建专业的服务团队，负责项目实施过程的控制及管理，明确项目负责人。</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供应商应配置履行服务所需的设施设备，以便提高服务质量及效率。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供应商应配置履行服务所需的设施设备，以便提高服务质量及效率。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达到采购人相关要求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达到采购人相关要求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西乡县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西乡县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完成初步设计和施工图设计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项目交（竣）工验收完成</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完成初步设计和施工图设计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项目交（竣）工验收完成</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供应商缴纳投标保证金时备注合同包名称，将投标保证金缴纳凭证附在投标文件中。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特定资格要求1</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特定资格要求2</w:t>
            </w:r>
          </w:p>
        </w:tc>
        <w:tc>
          <w:tcPr>
            <w:tcW w:type="dxa" w:w="3322"/>
          </w:tcPr>
          <w:p>
            <w:pPr>
              <w:pStyle w:val="null3"/>
            </w:pPr>
            <w:r>
              <w:rPr>
                <w:rFonts w:ascii="仿宋_GB2312" w:hAnsi="仿宋_GB2312" w:cs="仿宋_GB2312" w:eastAsia="仿宋_GB2312"/>
              </w:rPr>
              <w:t>供应商应授权合法的人员参与投标，其中法定代表人直接参加投标的，须出具法定代表人身份证明，并与营业执照上信息一致。法定代表人授权代表参与投标的，须出具法定代表人授权书、授权代表身份证；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特定资格要求3</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特定资格要求4</w:t>
            </w:r>
          </w:p>
        </w:tc>
        <w:tc>
          <w:tcPr>
            <w:tcW w:type="dxa" w:w="3322"/>
          </w:tcPr>
          <w:p>
            <w:pPr>
              <w:pStyle w:val="null3"/>
            </w:pPr>
            <w:r>
              <w:rPr>
                <w:rFonts w:ascii="仿宋_GB2312" w:hAnsi="仿宋_GB2312" w:cs="仿宋_GB2312" w:eastAsia="仿宋_GB2312"/>
              </w:rPr>
              <w:t>供应商须具有工程设计专业资质公路行业（公路）设计丙级及以上资质。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特定资格要求1</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特定资格要求2</w:t>
            </w:r>
          </w:p>
        </w:tc>
        <w:tc>
          <w:tcPr>
            <w:tcW w:type="dxa" w:w="3322"/>
          </w:tcPr>
          <w:p>
            <w:pPr>
              <w:pStyle w:val="null3"/>
            </w:pPr>
            <w:r>
              <w:rPr>
                <w:rFonts w:ascii="仿宋_GB2312" w:hAnsi="仿宋_GB2312" w:cs="仿宋_GB2312" w:eastAsia="仿宋_GB2312"/>
              </w:rPr>
              <w:t>供应商应授权合法的人员参与投标，其中法定代表人直接参加投标的，须出具法定代表人身份证明，并与营业执照上信息一致。法定代表人授权代表参与投标的，须出具法定代表人授权书、授权代表身份证；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特定资格要求3</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特定资格要求4</w:t>
            </w:r>
          </w:p>
        </w:tc>
        <w:tc>
          <w:tcPr>
            <w:tcW w:type="dxa" w:w="3322"/>
          </w:tcPr>
          <w:p>
            <w:pPr>
              <w:pStyle w:val="null3"/>
            </w:pPr>
            <w:r>
              <w:rPr>
                <w:rFonts w:ascii="仿宋_GB2312" w:hAnsi="仿宋_GB2312" w:cs="仿宋_GB2312" w:eastAsia="仿宋_GB2312"/>
              </w:rPr>
              <w:t>供应商须具有工程设计专业资质公路行业（公路）设计丙级及以上资质。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投标文件签字、盖章及投标有效期、投标保证金符合采购文件要求。</w:t>
            </w:r>
          </w:p>
        </w:tc>
        <w:tc>
          <w:tcPr>
            <w:tcW w:type="dxa" w:w="1661"/>
          </w:tcPr>
          <w:p>
            <w:pPr>
              <w:pStyle w:val="null3"/>
            </w:pPr>
            <w:r>
              <w:rPr>
                <w:rFonts w:ascii="仿宋_GB2312" w:hAnsi="仿宋_GB2312" w:cs="仿宋_GB2312" w:eastAsia="仿宋_GB2312"/>
              </w:rPr>
              <w:t>开标一览表 分项报价表.docx 服务内容及服务邀请应答表 投标函 供应商类似项目业绩一览表.docx 中小企业声明函 残疾人福利性单位声明函 商务应答表 标的清单 投标文件封面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符合采购文件要求，投标文件内容齐全、无遗漏</w:t>
            </w:r>
          </w:p>
        </w:tc>
        <w:tc>
          <w:tcPr>
            <w:tcW w:type="dxa" w:w="1661"/>
          </w:tcPr>
          <w:p>
            <w:pPr>
              <w:pStyle w:val="null3"/>
            </w:pPr>
            <w:r>
              <w:rPr>
                <w:rFonts w:ascii="仿宋_GB2312" w:hAnsi="仿宋_GB2312" w:cs="仿宋_GB2312" w:eastAsia="仿宋_GB2312"/>
              </w:rPr>
              <w:t>开标一览表 服务内容及服务邀请应答表 投标函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无效投标</w:t>
            </w:r>
          </w:p>
        </w:tc>
        <w:tc>
          <w:tcPr>
            <w:tcW w:type="dxa" w:w="3322"/>
          </w:tcPr>
          <w:p>
            <w:pPr>
              <w:pStyle w:val="null3"/>
            </w:pPr>
            <w:r>
              <w:rPr>
                <w:rFonts w:ascii="仿宋_GB2312" w:hAnsi="仿宋_GB2312" w:cs="仿宋_GB2312" w:eastAsia="仿宋_GB2312"/>
              </w:rPr>
              <w:t>没有出现法律法规或采购文件明确规定的其他被视为“无效投标”的情形及未实质性响应采购文件的情况</w:t>
            </w:r>
          </w:p>
        </w:tc>
        <w:tc>
          <w:tcPr>
            <w:tcW w:type="dxa" w:w="1661"/>
          </w:tcPr>
          <w:p>
            <w:pPr>
              <w:pStyle w:val="null3"/>
            </w:pPr>
            <w:r>
              <w:rPr>
                <w:rFonts w:ascii="仿宋_GB2312" w:hAnsi="仿宋_GB2312" w:cs="仿宋_GB2312" w:eastAsia="仿宋_GB2312"/>
              </w:rPr>
              <w:t>开标一览表 服务内容及服务邀请应答表 投标函 商务应答表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投标文件签字、盖章及投标有效期、投标保证金符合采购文件要求。</w:t>
            </w:r>
          </w:p>
        </w:tc>
        <w:tc>
          <w:tcPr>
            <w:tcW w:type="dxa" w:w="1661"/>
          </w:tcPr>
          <w:p>
            <w:pPr>
              <w:pStyle w:val="null3"/>
            </w:pPr>
            <w:r>
              <w:rPr>
                <w:rFonts w:ascii="仿宋_GB2312" w:hAnsi="仿宋_GB2312" w:cs="仿宋_GB2312" w:eastAsia="仿宋_GB2312"/>
              </w:rPr>
              <w:t>开标一览表 分项报价表.docx 服务内容及服务邀请应答表 投标函 供应商类似项目业绩一览表.docx 中小企业声明函 残疾人福利性单位声明函 商务应答表 标的清单 投标文件封面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符合采购文件要求，投标文件内容齐全、无遗漏</w:t>
            </w:r>
          </w:p>
        </w:tc>
        <w:tc>
          <w:tcPr>
            <w:tcW w:type="dxa" w:w="1661"/>
          </w:tcPr>
          <w:p>
            <w:pPr>
              <w:pStyle w:val="null3"/>
            </w:pPr>
            <w:r>
              <w:rPr>
                <w:rFonts w:ascii="仿宋_GB2312" w:hAnsi="仿宋_GB2312" w:cs="仿宋_GB2312" w:eastAsia="仿宋_GB2312"/>
              </w:rPr>
              <w:t>开标一览表 服务内容及服务邀请应答表 投标函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无效投标</w:t>
            </w:r>
          </w:p>
        </w:tc>
        <w:tc>
          <w:tcPr>
            <w:tcW w:type="dxa" w:w="3322"/>
          </w:tcPr>
          <w:p>
            <w:pPr>
              <w:pStyle w:val="null3"/>
            </w:pPr>
            <w:r>
              <w:rPr>
                <w:rFonts w:ascii="仿宋_GB2312" w:hAnsi="仿宋_GB2312" w:cs="仿宋_GB2312" w:eastAsia="仿宋_GB2312"/>
              </w:rPr>
              <w:t>没有出现法律法规或采购文件明确规定的其他被视为“无效投标”的情形及未实质性响应采购文件的情况</w:t>
            </w:r>
          </w:p>
        </w:tc>
        <w:tc>
          <w:tcPr>
            <w:tcW w:type="dxa" w:w="1661"/>
          </w:tcPr>
          <w:p>
            <w:pPr>
              <w:pStyle w:val="null3"/>
            </w:pPr>
            <w:r>
              <w:rPr>
                <w:rFonts w:ascii="仿宋_GB2312" w:hAnsi="仿宋_GB2312" w:cs="仿宋_GB2312" w:eastAsia="仿宋_GB2312"/>
              </w:rPr>
              <w:t>开标一览表 服务内容及服务邀请应答表 投标函 商务应答表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项目总体设计方案</w:t>
            </w:r>
          </w:p>
        </w:tc>
        <w:tc>
          <w:tcPr>
            <w:tcW w:type="dxa" w:w="2492"/>
          </w:tcPr>
          <w:p>
            <w:pPr>
              <w:pStyle w:val="null3"/>
            </w:pPr>
            <w:r>
              <w:rPr>
                <w:rFonts w:ascii="仿宋_GB2312" w:hAnsi="仿宋_GB2312" w:cs="仿宋_GB2312" w:eastAsia="仿宋_GB2312"/>
              </w:rPr>
              <w:t>深刻理解、全面把握需求，并结合项目的实际情况，能够针对性提出具体可行的①服务方案总体思路②各专项思路③工作计划及流程④技术路线及技术方法等。以上方案内容全面、针对性强、符合本项目特点的得满分16分，以上每缺少一项内容或内容非针对于本项目扣4分；每小项有一处缺陷扣1分，扣完为止，不提供不得分。 （缺陷是指：存在不适用项目实际情况的情形、凭空编造、内容前后不一致、前后逻辑错误、针对性不强、只有简单描述没有实质性内容、涉及的规范及标准错误、地点区域错误、内容缺失、不符合采购需求等)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对项目关键点、难点的理解及措施</w:t>
            </w:r>
          </w:p>
        </w:tc>
        <w:tc>
          <w:tcPr>
            <w:tcW w:type="dxa" w:w="2492"/>
          </w:tcPr>
          <w:p>
            <w:pPr>
              <w:pStyle w:val="null3"/>
            </w:pPr>
            <w:r>
              <w:rPr>
                <w:rFonts w:ascii="仿宋_GB2312" w:hAnsi="仿宋_GB2312" w:cs="仿宋_GB2312" w:eastAsia="仿宋_GB2312"/>
              </w:rPr>
              <w:t>根据供应商针对本项目指定的①工作的重点、难点的认识②对关键环节的分析③采取的针对性措施等。以上内容全面、针对性强、符合本项目特点的得满分12分，以上每缺少一项内容或内容非针对于本项目扣4分；每小项有一处缺陷扣1分，扣完为止，不提供不得分。 （缺陷是指：存在不适用项目实际情况的情形、凭空编造、内容前后不一致、前后逻辑错误、针对性不强、只有简单描述没有实质性内容、涉及的规范及标准错误、地点区域错误、内容缺失、不符合采购需求等）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质量控制的程序、措施和质量保证体系</w:t>
            </w:r>
          </w:p>
        </w:tc>
        <w:tc>
          <w:tcPr>
            <w:tcW w:type="dxa" w:w="2492"/>
          </w:tcPr>
          <w:p>
            <w:pPr>
              <w:pStyle w:val="null3"/>
            </w:pPr>
            <w:r>
              <w:rPr>
                <w:rFonts w:ascii="仿宋_GB2312" w:hAnsi="仿宋_GB2312" w:cs="仿宋_GB2312" w:eastAsia="仿宋_GB2312"/>
              </w:rPr>
              <w:t>根据供应商针对本项目①质量控制的程序②质量控制措施③质量保证体系等。以上内容全面、针对性强、符合本项目特点的得满分12分，以上每缺少一项内容或内容非针对于本项目扣4分；每小项有一处缺陷扣1分，扣完为止，不提供不得分。 （缺陷是指：存在不适用项目实际情况的情形、凭空编造、内容前后不一致、前后逻辑错误、针对性不强、只有简单描述没有实质性内容、涉及的规范及标准错误、地点区域错误、内容缺失、不符合采购需求等）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工作进度安排计划及措施</w:t>
            </w:r>
          </w:p>
        </w:tc>
        <w:tc>
          <w:tcPr>
            <w:tcW w:type="dxa" w:w="2492"/>
          </w:tcPr>
          <w:p>
            <w:pPr>
              <w:pStyle w:val="null3"/>
            </w:pPr>
            <w:r>
              <w:rPr>
                <w:rFonts w:ascii="仿宋_GB2312" w:hAnsi="仿宋_GB2312" w:cs="仿宋_GB2312" w:eastAsia="仿宋_GB2312"/>
              </w:rPr>
              <w:t>根据项目的实际情况，提供针对本项目①总体计划安排②各专项任务的衔接③提供成果时间节点等进度计划④进度保证措施等。以上内容全面、针对性强、符合本项目特点的得满分12分，以上每缺少一项内容或内容非针对于本项目扣3分；每小项有一处缺陷扣1分，扣完为止，不提供不得分。 （缺陷是指：存在不适用项目实际情况的情形、凭空编造、内容前后不一致、前后逻辑错误、针对性不强、只有简单描述没有实质性内容、涉及的规范及标准错误、地点区域错误、内容缺失、不符合采购需求等）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根据供应商提供的应急保障措施，包括但不限于①应急预案②重大或突发事件的人员配合③控制失误等其他相关服务的保障措施。以上内容全面、针对性强、符合本项目特点的得满分6分，以上每缺少一项内容或内容非针对于本项目扣2分；每小项有一处缺陷扣0.5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后续服务工作安排计划</w:t>
            </w:r>
          </w:p>
        </w:tc>
        <w:tc>
          <w:tcPr>
            <w:tcW w:type="dxa" w:w="2492"/>
          </w:tcPr>
          <w:p>
            <w:pPr>
              <w:pStyle w:val="null3"/>
            </w:pPr>
            <w:r>
              <w:rPr>
                <w:rFonts w:ascii="仿宋_GB2312" w:hAnsi="仿宋_GB2312" w:cs="仿宋_GB2312" w:eastAsia="仿宋_GB2312"/>
              </w:rPr>
              <w:t>有完善的后续技术支持服务，根据供应商提供的①后期服务响应方案②服务承诺③对后续服务工作进度、人员④后续服务技术支持⑤服务措施。以上方案内容全面、针对性强、符合本项目特点的得满分10分，以上每缺少一项内容或内容非针对于本项目扣2分；每小项有一处缺陷扣0.5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供应商提供2023年1月至今的类似业绩证明，每提供一份得2分，最高得6分。业绩证明资料需提供中标通知书或合同复印件，未提供不得分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1.项目负责人具备高级及以上技术职称的得 2分，中级技术职称得 1分，最高得2分（提供相关职称证、身份证、近期个人社保缴纳证明，未提供者不得分）。 2.拟投入本项目的其他人员（除项目负责人外）中具备中级及以上技术职称的，每提供 1 个得 1 分，最高得 4分（提供相关职称证、身份证、近期个人社保缴纳证明，未提供者不得分）。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1、上限为合同包预算金额（最高限价），即投标报价大于上限价视为无效标； 2、满足采购文件要求且投标价格最低的投标报价为评标基准价，其价格分为满分。其他供应商的价格分统一按照下列公式计算：投标报价得分=（评标基准价/投标报价）×20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项目总体设计方案</w:t>
            </w:r>
          </w:p>
        </w:tc>
        <w:tc>
          <w:tcPr>
            <w:tcW w:type="dxa" w:w="2492"/>
          </w:tcPr>
          <w:p>
            <w:pPr>
              <w:pStyle w:val="null3"/>
            </w:pPr>
            <w:r>
              <w:rPr>
                <w:rFonts w:ascii="仿宋_GB2312" w:hAnsi="仿宋_GB2312" w:cs="仿宋_GB2312" w:eastAsia="仿宋_GB2312"/>
              </w:rPr>
              <w:t>深刻理解、全面把握需求，并结合项目的实际情况，能够针对性提出具体可行的①服务方案总体思路②各专项思路③工作计划及流程④技术路线及技术方法等。以上方案内容全面、针对性强、符合本项目特点的得满分16分，以上每缺少一项内容或内容非针对于本项目扣4分；每小项有一处缺陷扣1分，扣完为止，不提供不得分。 （缺陷是指：存在不适用项目实际情况的情形、凭空编造、内容前后不一致、前后逻辑错误、针对性不强、只有简单描述没有实质性内容、涉及的规范及标准错误、地点区域错误、内容缺失、不符合采购需求等)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对项目关键点、难点的理解及措施</w:t>
            </w:r>
          </w:p>
        </w:tc>
        <w:tc>
          <w:tcPr>
            <w:tcW w:type="dxa" w:w="2492"/>
          </w:tcPr>
          <w:p>
            <w:pPr>
              <w:pStyle w:val="null3"/>
            </w:pPr>
            <w:r>
              <w:rPr>
                <w:rFonts w:ascii="仿宋_GB2312" w:hAnsi="仿宋_GB2312" w:cs="仿宋_GB2312" w:eastAsia="仿宋_GB2312"/>
              </w:rPr>
              <w:t>根据供应商针对本项目指定的①工作的重点、难点的认识②对关键环节的分析③采取的针对性措施等。以上内容全面、针对性强、符合本项目特点的得满分12分，以上每缺少一项内容或内容非针对于本项目扣4分；每小项有一处缺陷扣1分，扣完为止，不提供不得分。 （缺陷是指：存在不适用项目实际情况的情形、凭空编造、内容前后不一致、前后逻辑错误、针对性不强、只有简单描述没有实质性内容、涉及的规范及标准错误、地点区域错误、内容缺失、不符合采购需求等）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质量控制的程序、措施和质量保证体系</w:t>
            </w:r>
          </w:p>
        </w:tc>
        <w:tc>
          <w:tcPr>
            <w:tcW w:type="dxa" w:w="2492"/>
          </w:tcPr>
          <w:p>
            <w:pPr>
              <w:pStyle w:val="null3"/>
            </w:pPr>
            <w:r>
              <w:rPr>
                <w:rFonts w:ascii="仿宋_GB2312" w:hAnsi="仿宋_GB2312" w:cs="仿宋_GB2312" w:eastAsia="仿宋_GB2312"/>
              </w:rPr>
              <w:t>根据供应商针对本项目①质量控制的程序②质量控制措施③质量保证体系等。以上内容全面、针对性强、符合本项目特点的得满分12分，以上每缺少一项内容或内容非针对于本项目扣4分；每小项有一处缺陷扣1分，扣完为止，不提供不得分。 （缺陷是指：存在不适用项目实际情况的情形、凭空编造、内容前后不一致、前后逻辑错误、针对性不强、只有简单描述没有实质性内容、涉及的规范及标准错误、地点区域错误、内容缺失、不符合采购需求等）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工作进度安排计划及措施</w:t>
            </w:r>
          </w:p>
        </w:tc>
        <w:tc>
          <w:tcPr>
            <w:tcW w:type="dxa" w:w="2492"/>
          </w:tcPr>
          <w:p>
            <w:pPr>
              <w:pStyle w:val="null3"/>
            </w:pPr>
            <w:r>
              <w:rPr>
                <w:rFonts w:ascii="仿宋_GB2312" w:hAnsi="仿宋_GB2312" w:cs="仿宋_GB2312" w:eastAsia="仿宋_GB2312"/>
              </w:rPr>
              <w:t>根据项目的实际情况，提供针对本项目①总体计划安排②各专项任务的衔接③提供成果时间节点等进度计划④进度保证措施等。以上内容全面、针对性强、符合本项目特点的得满分12分，以上每缺少一项内容或内容非针对于本项目扣3分；每小项有一处缺陷扣1分，扣完为止，不提供不得分。 （缺陷是指：存在不适用项目实际情况的情形、凭空编造、内容前后不一致、前后逻辑错误、针对性不强、只有简单描述没有实质性内容、涉及的规范及标准错误、地点区域错误、内容缺失、不符合采购需求等）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根据供应商提供的应急保障措施，包括但不限于①应急预案②重大或突发事件的人员配合③控制失误等其他相关服务的保障措施。以上内容全面、针对性强、符合本项目特点的得满分6分，以上每缺少一项内容或内容非针对于本项目扣2分；每小项有一处缺陷扣0.5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后续服务工作安排计划</w:t>
            </w:r>
          </w:p>
        </w:tc>
        <w:tc>
          <w:tcPr>
            <w:tcW w:type="dxa" w:w="2492"/>
          </w:tcPr>
          <w:p>
            <w:pPr>
              <w:pStyle w:val="null3"/>
            </w:pPr>
            <w:r>
              <w:rPr>
                <w:rFonts w:ascii="仿宋_GB2312" w:hAnsi="仿宋_GB2312" w:cs="仿宋_GB2312" w:eastAsia="仿宋_GB2312"/>
              </w:rPr>
              <w:t>有完善的后续技术支持服务，根据供应商提供的①后期服务响应方案②服务承诺③对后续服务工作进度、人员④后续服务技术支持⑤服务措施。以上方案内容全面、针对性强、符合本项目特点的得满分10分，以上每缺少一项内容或内容非针对于本项目扣2分；每小项有一处缺陷扣0.5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供应商提供2023年1月至今的类似业绩证明，每提供一份得2分，最高得6分。业绩证明资料需提供中标通知书或合同复印件，未提供不得分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1.项目负责人具备高级及以上技术职称的得 2分，中级技术职称得 1分，最高得2分（提供相关职称证、身份证、近期个人社保缴纳证明，未提供者不得分）。 2.拟投入本项目的其他人员（除项目负责人外）中具备中级及以上技术职称的，每提供 1 个得 1 分，最高得 4分（提供相关职称证、身份证、近期个人社保缴纳证明，未提供者不得分）。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1、上限为合同包预算金额（最高限价），即投标报价大于上限价视为无效标； 2、满足采购文件要求且投标价格最低的投标报价为评标基准价，其价格分为满分。其他供应商的价格分统一按照下列公式计算：投标报价得分=（评标基准价/投标报价）×20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