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版本号：ZZXH-HZ-06120260305002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2025年油菜良种繁育基地建设项目设备采购项目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ZZXH-HZ-061</w:t>
      </w:r>
      <w:r>
        <w:br/>
      </w:r>
      <w:r>
        <w:br/>
      </w:r>
      <w:r>
        <w:br/>
      </w:r>
    </w:p>
    <w:p>
      <w:pPr>
        <w:pStyle w:val="null3"/>
        <w:jc w:val="center"/>
        <w:outlineLvl w:val="2"/>
      </w:pPr>
      <w:r>
        <w:rPr>
          <w:rFonts w:ascii="仿宋_GB2312" w:hAnsi="仿宋_GB2312" w:cs="仿宋_GB2312" w:eastAsia="仿宋_GB2312"/>
          <w:sz w:val="28"/>
          <w:b/>
        </w:rPr>
        <w:t>西乡县农业农村局</w:t>
      </w:r>
    </w:p>
    <w:p>
      <w:pPr>
        <w:pStyle w:val="null3"/>
        <w:jc w:val="center"/>
        <w:outlineLvl w:val="2"/>
      </w:pPr>
      <w:r>
        <w:rPr>
          <w:rFonts w:ascii="仿宋_GB2312" w:hAnsi="仿宋_GB2312" w:cs="仿宋_GB2312" w:eastAsia="仿宋_GB2312"/>
          <w:sz w:val="28"/>
          <w:b/>
        </w:rPr>
        <w:t>中正信合项目管理有限公司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中正信合项目管理有限公司</w:t>
      </w:r>
      <w:r>
        <w:rPr>
          <w:rFonts w:ascii="仿宋_GB2312" w:hAnsi="仿宋_GB2312" w:cs="仿宋_GB2312" w:eastAsia="仿宋_GB2312"/>
        </w:rPr>
        <w:t>（以下简称“代理机构”）受</w:t>
      </w:r>
      <w:r>
        <w:rPr>
          <w:rFonts w:ascii="仿宋_GB2312" w:hAnsi="仿宋_GB2312" w:cs="仿宋_GB2312" w:eastAsia="仿宋_GB2312"/>
        </w:rPr>
        <w:t>西乡县农业农村局</w:t>
      </w:r>
      <w:r>
        <w:rPr>
          <w:rFonts w:ascii="仿宋_GB2312" w:hAnsi="仿宋_GB2312" w:cs="仿宋_GB2312" w:eastAsia="仿宋_GB2312"/>
        </w:rPr>
        <w:t>委托，拟对</w:t>
      </w:r>
      <w:r>
        <w:rPr>
          <w:rFonts w:ascii="仿宋_GB2312" w:hAnsi="仿宋_GB2312" w:cs="仿宋_GB2312" w:eastAsia="仿宋_GB2312"/>
        </w:rPr>
        <w:t>2025年油菜良种繁育基地建设项目设备采购项目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ZZXH-HZ-061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2025年油菜良种繁育基地建设项目设备采购项目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为更好完善油菜良种繁育生产的区域布局，保障油菜种子安全，提升制种基地生产能力，充分发挥西乡县油菜制种生产条件优越、历史悠久、技术娴熟的优势，采购油菜育种设备一批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采购包1（西乡县农业农村局2025年油菜良种繁育基地建设项目设备采购项目）：属于专门面向中小企业采购。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1、有效的主体资格证明：供应商为具有独立承担民事责任能力的企业法人、负责人或其他组织或自然人，并出具有效的营业执照（事业法人证）或证明文件或自然人的身份证明</w:t>
      </w:r>
    </w:p>
    <w:p>
      <w:pPr>
        <w:pStyle w:val="null3"/>
      </w:pPr>
      <w:r>
        <w:rPr>
          <w:rFonts w:ascii="仿宋_GB2312" w:hAnsi="仿宋_GB2312" w:cs="仿宋_GB2312" w:eastAsia="仿宋_GB2312"/>
        </w:rPr>
        <w:t>2、授权代表身份证明：供应商应授权合法的人员参加本项目招标活动全过程，其中法定代表人直接参加招标活动的，应出具法定代表人证明书及法定代表人合法有效的身份证扫描件，且应与营业执照上信息一致；法定代表人授权代表参加招标活动的，应出具法定代表人证明书、法定代表人授权书及授权代表合法有效的身份证扫描件</w:t>
      </w:r>
    </w:p>
    <w:p>
      <w:pPr>
        <w:pStyle w:val="null3"/>
      </w:pPr>
      <w:r>
        <w:rPr>
          <w:rFonts w:ascii="仿宋_GB2312" w:hAnsi="仿宋_GB2312" w:cs="仿宋_GB2312" w:eastAsia="仿宋_GB2312"/>
        </w:rPr>
        <w:t>3、汉中市政府采购供应商资格承诺函：供应商须提供《汉中市政府采购供应商资格承诺函》。注：若供应商未提供《汉中市政府采购供应商资格承诺函》，应当按照《中华人民共和国政府采购法》及其实施条例等相关法律法规规定提供相应的证明材料。相应证明材料如下：①财务状况报告：提供2023年度或2024年度经审计的完整有效财务报告，或其响应文件递交截止时间前三个月内基本开户银行出具的资信证明，或财政部门认可的政府采购专业担保机构出具的担保函（以上三种任意一项即可）。（材料应清晰可辨并加盖公章）②社保缴纳证明：提供自2025年1月1日以来已缴存的任意1个月的社会保障资金缴存单据或社保机构开具的社会保险参保缴费情况证明；依法不需要缴纳社会保障资金的供应商应提供相关证明文件。（材料应清晰可辨并加盖公章）③税收缴纳证明：提供自2025年1月1日以来已缴纳的任意1个月的依法缴纳税收的相关凭据(时间以税款所属日期为准)，凭据应有税务机关或代收机关的公章或业务专用章；依法免税或无须缴纳税收的供应商，应提供相应证明文件。（材料应清晰可辨并加盖公章）④提供具有履行合同所必需的设备和专业技术能力的书面承诺。（格式内容自拟并加盖公章）⑤提供参加政府采购活动前三年内在经营活动中没有重大违法记录的书面声明。（格式内容自拟并加盖公章）⑥供应商不得为“信用中国”网站（www.cre 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供应商在招标文件截止时间前3日内查询并作为资格审查资料的一部分，如相关失信记录已失效，供应商需提供相关证明资料，若没有则无需提供。）</w:t>
      </w:r>
    </w:p>
    <w:p>
      <w:pPr>
        <w:pStyle w:val="null3"/>
      </w:pPr>
      <w:r>
        <w:rPr>
          <w:rFonts w:ascii="仿宋_GB2312" w:hAnsi="仿宋_GB2312" w:cs="仿宋_GB2312" w:eastAsia="仿宋_GB2312"/>
        </w:rPr>
        <w:t>4、具有履行合同所必须的设备和专业技术能力：具有履行合同所必须的设备和专业技术能力的承诺及说明</w:t>
      </w:r>
    </w:p>
    <w:p>
      <w:pPr>
        <w:pStyle w:val="null3"/>
      </w:pPr>
      <w:r>
        <w:rPr>
          <w:rFonts w:ascii="仿宋_GB2312" w:hAnsi="仿宋_GB2312" w:cs="仿宋_GB2312" w:eastAsia="仿宋_GB2312"/>
        </w:rPr>
        <w:t>5、本项目不接受联合体投标：提供非联合体投标声明</w:t>
      </w:r>
    </w:p>
    <w:p>
      <w:pPr>
        <w:pStyle w:val="null3"/>
      </w:pPr>
      <w:r>
        <w:rPr>
          <w:rFonts w:ascii="仿宋_GB2312" w:hAnsi="仿宋_GB2312" w:cs="仿宋_GB2312" w:eastAsia="仿宋_GB2312"/>
        </w:rPr>
        <w:t>6、本采购包专门面向中小企业采购：参与的供应商提供的货物全部由符合政策要求的中小企业制造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西乡县鹿龄路87号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西乡县农业农村局经办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0916-3188530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中正信合项目管理有限公司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陕西省汉中市汉台区前进中路中航建筑设计院.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程兴莉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09168832489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代理服务费收费标准：参照国家发展和改革委员会《招标代理服务收费暂行办法》（计价格[2002]1980号）及发改办价格[2003]857号文件的规定标准下收取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西乡县农业农村局</w:t>
      </w:r>
      <w:r>
        <w:rPr>
          <w:rFonts w:ascii="仿宋_GB2312" w:hAnsi="仿宋_GB2312" w:cs="仿宋_GB2312" w:eastAsia="仿宋_GB2312"/>
        </w:rPr>
        <w:t>和</w:t>
      </w:r>
      <w:r>
        <w:rPr>
          <w:rFonts w:ascii="仿宋_GB2312" w:hAnsi="仿宋_GB2312" w:cs="仿宋_GB2312" w:eastAsia="仿宋_GB2312"/>
        </w:rPr>
        <w:t>中正信合项目管理有限公司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西乡县农业农村局</w:t>
      </w:r>
      <w:r>
        <w:rPr>
          <w:rFonts w:ascii="仿宋_GB2312" w:hAnsi="仿宋_GB2312" w:cs="仿宋_GB2312" w:eastAsia="仿宋_GB2312"/>
        </w:rPr>
        <w:t>负责解释。除上述招标文件内容，其他内容由</w:t>
      </w:r>
      <w:r>
        <w:rPr>
          <w:rFonts w:ascii="仿宋_GB2312" w:hAnsi="仿宋_GB2312" w:cs="仿宋_GB2312" w:eastAsia="仿宋_GB2312"/>
        </w:rPr>
        <w:t>中正信合项目管理有限公司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中正信合项目管理有限公司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中正信合项目管理有限公司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中正信合项目管理有限公司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中正信合项目管理有限公司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联系人：程兴莉</w:t>
      </w:r>
    </w:p>
    <w:p>
      <w:pPr>
        <w:pStyle w:val="null3"/>
      </w:pPr>
      <w:r>
        <w:rPr>
          <w:rFonts w:ascii="仿宋_GB2312" w:hAnsi="仿宋_GB2312" w:cs="仿宋_GB2312" w:eastAsia="仿宋_GB2312"/>
        </w:rPr>
        <w:t>联系电话：09168832489</w:t>
      </w:r>
    </w:p>
    <w:p>
      <w:pPr>
        <w:pStyle w:val="null3"/>
      </w:pPr>
      <w:r>
        <w:rPr>
          <w:rFonts w:ascii="仿宋_GB2312" w:hAnsi="仿宋_GB2312" w:cs="仿宋_GB2312" w:eastAsia="仿宋_GB2312"/>
        </w:rPr>
        <w:t>地址：陕西省汉中市汉台区前进中路中航建筑设计院.</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为更好完善油菜良种繁育生产的区域布局，保障油菜种子安全，提升制种基地生产能力，充分发挥西乡县油菜制种生产条件优越、历史悠久、技术娴熟的优势，采购油菜育种设备一批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1,270,000.00</w:t>
      </w:r>
    </w:p>
    <w:p>
      <w:pPr>
        <w:pStyle w:val="null3"/>
      </w:pPr>
      <w:r>
        <w:rPr>
          <w:rFonts w:ascii="仿宋_GB2312" w:hAnsi="仿宋_GB2312" w:cs="仿宋_GB2312" w:eastAsia="仿宋_GB2312"/>
        </w:rPr>
        <w:t>采购包最高限价（元）: 1,270,000.00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2025年油菜良种繁育基地建设项目设备采购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1,270,000.00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标的名称：2025年油菜良种繁育基地建设项目设备采购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542"/>
              <w:gridCol w:w="387"/>
              <w:gridCol w:w="254"/>
              <w:gridCol w:w="1149"/>
              <w:gridCol w:w="219"/>
            </w:tblGrid>
            <w:tr>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6"/>
                      <w:color w:val="000000"/>
                    </w:rPr>
                    <w:t>项目名称</w:t>
                  </w:r>
                </w:p>
              </w:tc>
              <w:tc>
                <w:tcPr>
                  <w:tcW w:type="dxa" w:w="3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6"/>
                      <w:color w:val="000000"/>
                    </w:rPr>
                    <w:t>规格</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6"/>
                      <w:color w:val="000000"/>
                    </w:rPr>
                    <w:t>数量</w:t>
                  </w:r>
                </w:p>
              </w:tc>
              <w:tc>
                <w:tcPr>
                  <w:tcW w:type="dxa" w:w="1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6"/>
                      <w:color w:val="000000"/>
                    </w:rPr>
                    <w:t>主要技术参数</w:t>
                  </w:r>
                </w:p>
              </w:tc>
              <w:tc>
                <w:tcPr>
                  <w:tcW w:type="dxa" w:w="2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5"/>
                      <w:color w:val="000000"/>
                    </w:rPr>
                    <w:t>最高限价</w:t>
                  </w:r>
                </w:p>
              </w:tc>
            </w:tr>
            <w:tr>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6"/>
                      <w:color w:val="000000"/>
                    </w:rPr>
                    <w:t>种子色选机</w:t>
                  </w:r>
                </w:p>
              </w:tc>
              <w:tc>
                <w:tcPr>
                  <w:tcW w:type="dxa" w:w="3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6"/>
                      <w:color w:val="000000"/>
                    </w:rPr>
                    <w:t>套</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5"/>
                      <w:color w:val="000000"/>
                    </w:rPr>
                    <w:t xml:space="preserve">1 </w:t>
                  </w:r>
                </w:p>
              </w:tc>
              <w:tc>
                <w:tcPr>
                  <w:tcW w:type="dxa" w:w="1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rPr>
                    <w:t>色选精度：</w:t>
                  </w:r>
                  <w:r>
                    <w:rPr>
                      <w:rFonts w:ascii="仿宋_GB2312" w:hAnsi="仿宋_GB2312" w:cs="仿宋_GB2312" w:eastAsia="仿宋_GB2312"/>
                      <w:sz w:val="24"/>
                    </w:rPr>
                    <w:t>≥99.99%；带出比：＞1：1；主机功率：≧0.7kw；通道数量：≧96，电源（v//Hz）:220/50;配套螺杆式空气压缩机，功率≧7.5kw；；≧10p冷干机。≧0.6立方储气罐；重量：≧300㎏。</w:t>
                  </w:r>
                </w:p>
              </w:tc>
              <w:tc>
                <w:tcPr>
                  <w:tcW w:type="dxa" w:w="2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6"/>
                      <w:color w:val="000000"/>
                    </w:rPr>
                    <w:t>16</w:t>
                  </w:r>
                  <w:r>
                    <w:rPr>
                      <w:rFonts w:ascii="仿宋_GB2312" w:hAnsi="仿宋_GB2312" w:cs="仿宋_GB2312" w:eastAsia="仿宋_GB2312"/>
                      <w:sz w:val="26"/>
                      <w:color w:val="000000"/>
                    </w:rPr>
                    <w:t>万</w:t>
                  </w:r>
                </w:p>
              </w:tc>
            </w:tr>
            <w:tr>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6"/>
                      <w:color w:val="000000"/>
                    </w:rPr>
                    <w:t>油菜播种机</w:t>
                  </w:r>
                </w:p>
              </w:tc>
              <w:tc>
                <w:tcPr>
                  <w:tcW w:type="dxa" w:w="3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6"/>
                      <w:color w:val="000000"/>
                    </w:rPr>
                    <w:t>台</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5"/>
                      <w:color w:val="000000"/>
                    </w:rPr>
                    <w:t xml:space="preserve">50 </w:t>
                  </w:r>
                </w:p>
              </w:tc>
              <w:tc>
                <w:tcPr>
                  <w:tcW w:type="dxa" w:w="1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both"/>
                  </w:pPr>
                  <w:r>
                    <w:rPr>
                      <w:rFonts w:ascii="仿宋_GB2312" w:hAnsi="仿宋_GB2312" w:cs="仿宋_GB2312" w:eastAsia="仿宋_GB2312"/>
                      <w:sz w:val="24"/>
                    </w:rPr>
                    <w:t>作业效率：大于等于</w:t>
                  </w:r>
                  <w:r>
                    <w:rPr>
                      <w:rFonts w:ascii="仿宋_GB2312" w:hAnsi="仿宋_GB2312" w:cs="仿宋_GB2312" w:eastAsia="仿宋_GB2312"/>
                      <w:sz w:val="24"/>
                    </w:rPr>
                    <w:t>6亩/小时</w:t>
                  </w:r>
                </w:p>
                <w:p>
                  <w:pPr>
                    <w:pStyle w:val="null3"/>
                    <w:jc w:val="both"/>
                  </w:pPr>
                  <w:r>
                    <w:rPr>
                      <w:rFonts w:ascii="仿宋_GB2312" w:hAnsi="仿宋_GB2312" w:cs="仿宋_GB2312" w:eastAsia="仿宋_GB2312"/>
                      <w:sz w:val="24"/>
                    </w:rPr>
                    <w:t>机器下种量：</w:t>
                  </w:r>
                  <w:r>
                    <w:rPr>
                      <w:rFonts w:ascii="仿宋_GB2312" w:hAnsi="仿宋_GB2312" w:cs="仿宋_GB2312" w:eastAsia="仿宋_GB2312"/>
                      <w:sz w:val="24"/>
                    </w:rPr>
                    <w:t>6档调节与精播轮配比</w:t>
                  </w:r>
                </w:p>
                <w:p>
                  <w:pPr>
                    <w:pStyle w:val="null3"/>
                    <w:jc w:val="both"/>
                  </w:pPr>
                  <w:r>
                    <w:rPr>
                      <w:rFonts w:ascii="仿宋_GB2312" w:hAnsi="仿宋_GB2312" w:cs="仿宋_GB2312" w:eastAsia="仿宋_GB2312"/>
                      <w:sz w:val="24"/>
                    </w:rPr>
                    <w:t>机架材质：碳钢</w:t>
                  </w:r>
                </w:p>
                <w:p>
                  <w:pPr>
                    <w:pStyle w:val="null3"/>
                    <w:jc w:val="both"/>
                  </w:pPr>
                  <w:r>
                    <w:rPr>
                      <w:rFonts w:ascii="仿宋_GB2312" w:hAnsi="仿宋_GB2312" w:cs="仿宋_GB2312" w:eastAsia="仿宋_GB2312"/>
                      <w:sz w:val="24"/>
                    </w:rPr>
                    <w:t>前驱动辊材质：碳钢</w:t>
                  </w:r>
                </w:p>
                <w:p>
                  <w:pPr>
                    <w:pStyle w:val="null3"/>
                    <w:jc w:val="both"/>
                  </w:pPr>
                  <w:r>
                    <w:rPr>
                      <w:rFonts w:ascii="仿宋_GB2312" w:hAnsi="仿宋_GB2312" w:cs="仿宋_GB2312" w:eastAsia="仿宋_GB2312"/>
                      <w:sz w:val="24"/>
                    </w:rPr>
                    <w:t>后压辊材质：</w:t>
                  </w:r>
                  <w:r>
                    <w:rPr>
                      <w:rFonts w:ascii="仿宋_GB2312" w:hAnsi="仿宋_GB2312" w:cs="仿宋_GB2312" w:eastAsia="仿宋_GB2312"/>
                      <w:sz w:val="24"/>
                    </w:rPr>
                    <w:t>201不锈钢，碳钢</w:t>
                  </w:r>
                </w:p>
                <w:p>
                  <w:pPr>
                    <w:pStyle w:val="null3"/>
                    <w:jc w:val="both"/>
                  </w:pPr>
                  <w:r>
                    <w:rPr>
                      <w:rFonts w:ascii="仿宋_GB2312" w:hAnsi="仿宋_GB2312" w:cs="仿宋_GB2312" w:eastAsia="仿宋_GB2312"/>
                      <w:sz w:val="24"/>
                    </w:rPr>
                    <w:t>配套动力：</w:t>
                  </w:r>
                  <w:r>
                    <w:rPr>
                      <w:rFonts w:ascii="仿宋_GB2312" w:hAnsi="仿宋_GB2312" w:cs="仿宋_GB2312" w:eastAsia="仿宋_GB2312"/>
                      <w:sz w:val="24"/>
                    </w:rPr>
                    <w:t>8一12马力微耕机</w:t>
                  </w:r>
                </w:p>
                <w:p>
                  <w:pPr>
                    <w:pStyle w:val="null3"/>
                    <w:jc w:val="both"/>
                  </w:pPr>
                  <w:r>
                    <w:rPr>
                      <w:rFonts w:ascii="仿宋_GB2312" w:hAnsi="仿宋_GB2312" w:cs="仿宋_GB2312" w:eastAsia="仿宋_GB2312"/>
                      <w:sz w:val="24"/>
                    </w:rPr>
                    <w:t>行数：</w:t>
                  </w:r>
                  <w:r>
                    <w:rPr>
                      <w:rFonts w:ascii="仿宋_GB2312" w:hAnsi="仿宋_GB2312" w:cs="仿宋_GB2312" w:eastAsia="仿宋_GB2312"/>
                      <w:sz w:val="24"/>
                    </w:rPr>
                    <w:t>3</w:t>
                  </w:r>
                </w:p>
                <w:p>
                  <w:pPr>
                    <w:pStyle w:val="null3"/>
                    <w:jc w:val="both"/>
                  </w:pPr>
                  <w:r>
                    <w:rPr>
                      <w:rFonts w:ascii="仿宋_GB2312" w:hAnsi="仿宋_GB2312" w:cs="仿宋_GB2312" w:eastAsia="仿宋_GB2312"/>
                      <w:sz w:val="24"/>
                    </w:rPr>
                    <w:t>行距：</w:t>
                  </w:r>
                  <w:r>
                    <w:rPr>
                      <w:rFonts w:ascii="仿宋_GB2312" w:hAnsi="仿宋_GB2312" w:cs="仿宋_GB2312" w:eastAsia="仿宋_GB2312"/>
                      <w:sz w:val="24"/>
                    </w:rPr>
                    <w:t>60</w:t>
                  </w:r>
                </w:p>
                <w:p>
                  <w:pPr>
                    <w:pStyle w:val="null3"/>
                    <w:jc w:val="both"/>
                  </w:pPr>
                  <w:r>
                    <w:rPr>
                      <w:rFonts w:ascii="仿宋_GB2312" w:hAnsi="仿宋_GB2312" w:cs="仿宋_GB2312" w:eastAsia="仿宋_GB2312"/>
                      <w:sz w:val="24"/>
                    </w:rPr>
                    <w:t>开沟深度：</w:t>
                  </w:r>
                  <w:r>
                    <w:rPr>
                      <w:rFonts w:ascii="仿宋_GB2312" w:hAnsi="仿宋_GB2312" w:cs="仿宋_GB2312" w:eastAsia="仿宋_GB2312"/>
                      <w:sz w:val="24"/>
                    </w:rPr>
                    <w:t>0一40㎜</w:t>
                  </w:r>
                </w:p>
                <w:p>
                  <w:pPr>
                    <w:pStyle w:val="null3"/>
                    <w:jc w:val="both"/>
                  </w:pPr>
                  <w:r>
                    <w:rPr>
                      <w:rFonts w:ascii="仿宋_GB2312" w:hAnsi="仿宋_GB2312" w:cs="仿宋_GB2312" w:eastAsia="仿宋_GB2312"/>
                      <w:sz w:val="24"/>
                    </w:rPr>
                    <w:t>排种量调节方式：</w:t>
                  </w:r>
                  <w:r>
                    <w:rPr>
                      <w:rFonts w:ascii="仿宋_GB2312" w:hAnsi="仿宋_GB2312" w:cs="仿宋_GB2312" w:eastAsia="仿宋_GB2312"/>
                      <w:sz w:val="24"/>
                    </w:rPr>
                    <w:t>6档变速箱，主链轮调换，</w:t>
                  </w:r>
                </w:p>
                <w:p>
                  <w:pPr>
                    <w:pStyle w:val="null3"/>
                    <w:jc w:val="both"/>
                  </w:pPr>
                  <w:r>
                    <w:rPr>
                      <w:rFonts w:ascii="仿宋_GB2312" w:hAnsi="仿宋_GB2312" w:cs="仿宋_GB2312" w:eastAsia="仿宋_GB2312"/>
                      <w:sz w:val="24"/>
                    </w:rPr>
                    <w:t>镇压方式：滚动，</w:t>
                  </w:r>
                </w:p>
                <w:p>
                  <w:pPr>
                    <w:pStyle w:val="null3"/>
                    <w:jc w:val="both"/>
                  </w:pPr>
                  <w:r>
                    <w:rPr>
                      <w:rFonts w:ascii="仿宋_GB2312" w:hAnsi="仿宋_GB2312" w:cs="仿宋_GB2312" w:eastAsia="仿宋_GB2312"/>
                      <w:sz w:val="24"/>
                    </w:rPr>
                    <w:t>工作幅度：1250mm</w:t>
                  </w:r>
                  <w:r>
                    <w:rPr>
                      <w:rFonts w:ascii="仿宋_GB2312" w:hAnsi="仿宋_GB2312" w:cs="仿宋_GB2312" w:eastAsia="仿宋_GB2312"/>
                      <w:sz w:val="24"/>
                    </w:rPr>
                    <w:t>。</w:t>
                  </w:r>
                </w:p>
              </w:tc>
              <w:tc>
                <w:tcPr>
                  <w:tcW w:type="dxa" w:w="2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6"/>
                      <w:color w:val="000000"/>
                    </w:rPr>
                    <w:t>25</w:t>
                  </w:r>
                  <w:r>
                    <w:rPr>
                      <w:rFonts w:ascii="仿宋_GB2312" w:hAnsi="仿宋_GB2312" w:cs="仿宋_GB2312" w:eastAsia="仿宋_GB2312"/>
                      <w:sz w:val="26"/>
                      <w:color w:val="000000"/>
                    </w:rPr>
                    <w:t>万</w:t>
                  </w:r>
                  <w:r>
                    <w:br/>
                  </w:r>
                  <w:r>
                    <w:rPr>
                      <w:rFonts w:ascii="仿宋_GB2312" w:hAnsi="仿宋_GB2312" w:cs="仿宋_GB2312" w:eastAsia="仿宋_GB2312"/>
                      <w:sz w:val="26"/>
                      <w:color w:val="000000"/>
                    </w:rPr>
                    <w:t>（</w:t>
                  </w:r>
                  <w:r>
                    <w:rPr>
                      <w:rFonts w:ascii="仿宋_GB2312" w:hAnsi="仿宋_GB2312" w:cs="仿宋_GB2312" w:eastAsia="仿宋_GB2312"/>
                      <w:sz w:val="26"/>
                      <w:color w:val="000000"/>
                    </w:rPr>
                    <w:t>5000</w:t>
                  </w:r>
                  <w:r>
                    <w:rPr>
                      <w:rFonts w:ascii="仿宋_GB2312" w:hAnsi="仿宋_GB2312" w:cs="仿宋_GB2312" w:eastAsia="仿宋_GB2312"/>
                      <w:sz w:val="26"/>
                      <w:color w:val="000000"/>
                    </w:rPr>
                    <w:t>元</w:t>
                  </w:r>
                  <w:r>
                    <w:rPr>
                      <w:rFonts w:ascii="仿宋_GB2312" w:hAnsi="仿宋_GB2312" w:cs="仿宋_GB2312" w:eastAsia="仿宋_GB2312"/>
                      <w:sz w:val="26"/>
                      <w:color w:val="000000"/>
                    </w:rPr>
                    <w:t>/</w:t>
                  </w:r>
                  <w:r>
                    <w:rPr>
                      <w:rFonts w:ascii="仿宋_GB2312" w:hAnsi="仿宋_GB2312" w:cs="仿宋_GB2312" w:eastAsia="仿宋_GB2312"/>
                      <w:sz w:val="26"/>
                      <w:color w:val="000000"/>
                    </w:rPr>
                    <w:t>台）</w:t>
                  </w:r>
                </w:p>
              </w:tc>
            </w:tr>
            <w:tr>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6"/>
                      <w:color w:val="000000"/>
                    </w:rPr>
                    <w:t>微耕机</w:t>
                  </w:r>
                </w:p>
              </w:tc>
              <w:tc>
                <w:tcPr>
                  <w:tcW w:type="dxa" w:w="3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6"/>
                      <w:color w:val="000000"/>
                    </w:rPr>
                    <w:t>台</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5"/>
                      <w:color w:val="000000"/>
                    </w:rPr>
                    <w:t xml:space="preserve">60 </w:t>
                  </w:r>
                </w:p>
              </w:tc>
              <w:tc>
                <w:tcPr>
                  <w:tcW w:type="dxa" w:w="114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center"/>
                  </w:pPr>
                  <w:r>
                    <w:rPr>
                      <w:rFonts w:ascii="仿宋_GB2312" w:hAnsi="仿宋_GB2312" w:cs="仿宋_GB2312" w:eastAsia="仿宋_GB2312"/>
                      <w:sz w:val="24"/>
                      <w:color w:val="000000"/>
                    </w:rPr>
                    <w:t>配套功率：</w:t>
                  </w:r>
                  <w:r>
                    <w:rPr>
                      <w:rFonts w:ascii="仿宋_GB2312" w:hAnsi="仿宋_GB2312" w:cs="仿宋_GB2312" w:eastAsia="仿宋_GB2312"/>
                      <w:sz w:val="24"/>
                      <w:color w:val="000000"/>
                    </w:rPr>
                    <w:t>4.</w:t>
                  </w:r>
                  <w:r>
                    <w:rPr>
                      <w:rFonts w:ascii="仿宋_GB2312" w:hAnsi="仿宋_GB2312" w:cs="仿宋_GB2312" w:eastAsia="仿宋_GB2312"/>
                      <w:sz w:val="24"/>
                      <w:color w:val="000000"/>
                    </w:rPr>
                    <w:t>05</w:t>
                  </w:r>
                  <w:r>
                    <w:rPr>
                      <w:rFonts w:ascii="仿宋_GB2312" w:hAnsi="仿宋_GB2312" w:cs="仿宋_GB2312" w:eastAsia="仿宋_GB2312"/>
                      <w:sz w:val="24"/>
                      <w:color w:val="000000"/>
                    </w:rPr>
                    <w:t>KW；</w:t>
                  </w:r>
                  <w:r>
                    <w:rPr>
                      <w:rFonts w:ascii="仿宋_GB2312" w:hAnsi="仿宋_GB2312" w:cs="仿宋_GB2312" w:eastAsia="仿宋_GB2312"/>
                      <w:sz w:val="24"/>
                      <w:color w:val="000000"/>
                    </w:rPr>
                    <w:t>排放标准：国四；柴油动力：电启动；配套电池：</w:t>
                  </w:r>
                  <w:r>
                    <w:rPr>
                      <w:rFonts w:ascii="仿宋_GB2312" w:hAnsi="仿宋_GB2312" w:cs="仿宋_GB2312" w:eastAsia="仿宋_GB2312"/>
                      <w:sz w:val="24"/>
                      <w:color w:val="000000"/>
                    </w:rPr>
                    <w:t>12V21A;</w:t>
                  </w:r>
                  <w:r>
                    <w:rPr>
                      <w:rFonts w:ascii="仿宋_GB2312" w:hAnsi="仿宋_GB2312" w:cs="仿宋_GB2312" w:eastAsia="仿宋_GB2312"/>
                      <w:sz w:val="24"/>
                      <w:color w:val="000000"/>
                    </w:rPr>
                    <w:t>标定转速（</w:t>
                  </w:r>
                  <w:r>
                    <w:rPr>
                      <w:rFonts w:ascii="仿宋_GB2312" w:hAnsi="仿宋_GB2312" w:cs="仿宋_GB2312" w:eastAsia="仿宋_GB2312"/>
                      <w:sz w:val="24"/>
                      <w:color w:val="000000"/>
                    </w:rPr>
                    <w:t>r/min）:3600；工作幅宽（</w:t>
                  </w:r>
                  <w:r>
                    <w:rPr>
                      <w:rFonts w:ascii="仿宋_GB2312" w:hAnsi="仿宋_GB2312" w:cs="仿宋_GB2312" w:eastAsia="仿宋_GB2312"/>
                      <w:sz w:val="24"/>
                      <w:color w:val="000000"/>
                    </w:rPr>
                    <w:t>c</w:t>
                  </w:r>
                  <w:r>
                    <w:rPr>
                      <w:rFonts w:ascii="仿宋_GB2312" w:hAnsi="仿宋_GB2312" w:cs="仿宋_GB2312" w:eastAsia="仿宋_GB2312"/>
                      <w:sz w:val="24"/>
                      <w:color w:val="000000"/>
                    </w:rPr>
                    <w:t>m）:100； 计耕深：≧10</w:t>
                  </w:r>
                  <w:r>
                    <w:rPr>
                      <w:rFonts w:ascii="仿宋_GB2312" w:hAnsi="仿宋_GB2312" w:cs="仿宋_GB2312" w:eastAsia="仿宋_GB2312"/>
                      <w:sz w:val="24"/>
                      <w:color w:val="000000"/>
                    </w:rPr>
                    <w:t>c</w:t>
                  </w:r>
                  <w:r>
                    <w:rPr>
                      <w:rFonts w:ascii="仿宋_GB2312" w:hAnsi="仿宋_GB2312" w:cs="仿宋_GB2312" w:eastAsia="仿宋_GB2312"/>
                      <w:sz w:val="24"/>
                      <w:color w:val="000000"/>
                    </w:rPr>
                    <w:t>m</w:t>
                  </w:r>
                  <w:r>
                    <w:rPr>
                      <w:rFonts w:ascii="仿宋_GB2312" w:hAnsi="仿宋_GB2312" w:cs="仿宋_GB2312" w:eastAsia="仿宋_GB2312"/>
                      <w:sz w:val="24"/>
                      <w:color w:val="000000"/>
                    </w:rPr>
                    <w:t>;生产率：≥0.04h㎡/(h•m);燃油消耗率：≤30kg/h㎡.</w:t>
                  </w:r>
                  <w:r>
                    <w:rPr>
                      <w:rFonts w:ascii="仿宋_GB2312" w:hAnsi="仿宋_GB2312" w:cs="仿宋_GB2312" w:eastAsia="仿宋_GB2312"/>
                      <w:sz w:val="24"/>
                    </w:rPr>
                    <w:t>结构形式：手持式；</w:t>
                  </w:r>
                  <w:r>
                    <w:rPr>
                      <w:rFonts w:ascii="仿宋_GB2312" w:hAnsi="仿宋_GB2312" w:cs="仿宋_GB2312" w:eastAsia="仿宋_GB2312"/>
                      <w:sz w:val="24"/>
                    </w:rPr>
                    <w:t>传动方式：直连；刀辊传动方式：齿轮传动；旋耕刀型式：旱地刀；刀辊最大回转半径（mm）:180；总安装刀数：24；主离合器型式：摩擦片式；主离合器状态：常开。</w:t>
                  </w:r>
                </w:p>
              </w:tc>
              <w:tc>
                <w:tcPr>
                  <w:tcW w:type="dxa" w:w="2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6"/>
                      <w:color w:val="000000"/>
                    </w:rPr>
                    <w:t>21</w:t>
                  </w:r>
                  <w:r>
                    <w:rPr>
                      <w:rFonts w:ascii="仿宋_GB2312" w:hAnsi="仿宋_GB2312" w:cs="仿宋_GB2312" w:eastAsia="仿宋_GB2312"/>
                      <w:sz w:val="26"/>
                      <w:color w:val="000000"/>
                    </w:rPr>
                    <w:t>万</w:t>
                  </w:r>
                  <w:r>
                    <w:br/>
                  </w:r>
                  <w:r>
                    <w:rPr>
                      <w:rFonts w:ascii="仿宋_GB2312" w:hAnsi="仿宋_GB2312" w:cs="仿宋_GB2312" w:eastAsia="仿宋_GB2312"/>
                      <w:sz w:val="26"/>
                      <w:color w:val="000000"/>
                    </w:rPr>
                    <w:t>（</w:t>
                  </w:r>
                  <w:r>
                    <w:rPr>
                      <w:rFonts w:ascii="仿宋_GB2312" w:hAnsi="仿宋_GB2312" w:cs="仿宋_GB2312" w:eastAsia="仿宋_GB2312"/>
                      <w:sz w:val="26"/>
                      <w:color w:val="000000"/>
                    </w:rPr>
                    <w:t>3500</w:t>
                  </w:r>
                  <w:r>
                    <w:rPr>
                      <w:rFonts w:ascii="仿宋_GB2312" w:hAnsi="仿宋_GB2312" w:cs="仿宋_GB2312" w:eastAsia="仿宋_GB2312"/>
                      <w:sz w:val="26"/>
                      <w:color w:val="000000"/>
                    </w:rPr>
                    <w:t>元</w:t>
                  </w:r>
                  <w:r>
                    <w:rPr>
                      <w:rFonts w:ascii="仿宋_GB2312" w:hAnsi="仿宋_GB2312" w:cs="仿宋_GB2312" w:eastAsia="仿宋_GB2312"/>
                      <w:sz w:val="26"/>
                      <w:color w:val="000000"/>
                    </w:rPr>
                    <w:t>/</w:t>
                  </w:r>
                  <w:r>
                    <w:rPr>
                      <w:rFonts w:ascii="仿宋_GB2312" w:hAnsi="仿宋_GB2312" w:cs="仿宋_GB2312" w:eastAsia="仿宋_GB2312"/>
                      <w:sz w:val="26"/>
                      <w:color w:val="000000"/>
                    </w:rPr>
                    <w:t>台）</w:t>
                  </w:r>
                </w:p>
              </w:tc>
            </w:tr>
            <w:tr>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6"/>
                      <w:color w:val="000000"/>
                    </w:rPr>
                    <w:t>化杀设备</w:t>
                  </w:r>
                  <w:r>
                    <w:br/>
                  </w:r>
                  <w:r>
                    <w:rPr>
                      <w:rFonts w:ascii="仿宋_GB2312" w:hAnsi="仿宋_GB2312" w:cs="仿宋_GB2312" w:eastAsia="仿宋_GB2312"/>
                      <w:sz w:val="26"/>
                      <w:color w:val="000000"/>
                    </w:rPr>
                    <w:t>(电动喷雾</w:t>
                  </w:r>
                  <w:r>
                    <w:br/>
                  </w:r>
                  <w:r>
                    <w:rPr>
                      <w:rFonts w:ascii="仿宋_GB2312" w:hAnsi="仿宋_GB2312" w:cs="仿宋_GB2312" w:eastAsia="仿宋_GB2312"/>
                      <w:sz w:val="26"/>
                      <w:color w:val="000000"/>
                    </w:rPr>
                    <w:t>器 )</w:t>
                  </w:r>
                </w:p>
              </w:tc>
              <w:tc>
                <w:tcPr>
                  <w:tcW w:type="dxa" w:w="3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6"/>
                      <w:color w:val="000000"/>
                    </w:rPr>
                    <w:t>台</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5"/>
                      <w:color w:val="000000"/>
                    </w:rPr>
                    <w:t xml:space="preserve">400 </w:t>
                  </w:r>
                </w:p>
              </w:tc>
              <w:tc>
                <w:tcPr>
                  <w:tcW w:type="dxa" w:w="1149"/>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numPr>
                      <w:ilvl w:val="0"/>
                      <w:numId w:val="1"/>
                    </w:numPr>
                    <w:jc w:val="both"/>
                  </w:pPr>
                  <w:r>
                    <w:rPr>
                      <w:rFonts w:ascii="仿宋_GB2312" w:hAnsi="仿宋_GB2312" w:cs="仿宋_GB2312" w:eastAsia="仿宋_GB2312"/>
                      <w:sz w:val="24"/>
                    </w:rPr>
                    <w:t>电池：锂</w:t>
                  </w:r>
                  <w:r>
                    <w:rPr>
                      <w:rFonts w:ascii="仿宋_GB2312" w:hAnsi="仿宋_GB2312" w:cs="仿宋_GB2312" w:eastAsia="仿宋_GB2312"/>
                      <w:sz w:val="24"/>
                    </w:rPr>
                    <w:t>电池</w:t>
                  </w:r>
                  <w:r>
                    <w:rPr>
                      <w:rFonts w:ascii="仿宋_GB2312" w:hAnsi="仿宋_GB2312" w:cs="仿宋_GB2312" w:eastAsia="仿宋_GB2312"/>
                      <w:sz w:val="24"/>
                    </w:rPr>
                    <w:t>≧</w:t>
                  </w:r>
                  <w:r>
                    <w:rPr>
                      <w:rFonts w:ascii="仿宋_GB2312" w:hAnsi="仿宋_GB2312" w:cs="仿宋_GB2312" w:eastAsia="仿宋_GB2312"/>
                      <w:sz w:val="24"/>
                    </w:rPr>
                    <w:t>12v8Ah</w:t>
                  </w:r>
                  <w:r>
                    <w:rPr>
                      <w:rFonts w:ascii="仿宋_GB2312" w:hAnsi="仿宋_GB2312" w:cs="仿宋_GB2312" w:eastAsia="仿宋_GB2312"/>
                      <w:sz w:val="24"/>
                    </w:rPr>
                    <w:t>，</w:t>
                  </w:r>
                </w:p>
                <w:p>
                  <w:pPr>
                    <w:pStyle w:val="null3"/>
                    <w:numPr>
                      <w:ilvl w:val="0"/>
                      <w:numId w:val="1"/>
                    </w:numPr>
                    <w:jc w:val="both"/>
                  </w:pPr>
                  <w:r>
                    <w:rPr>
                      <w:rFonts w:ascii="仿宋_GB2312" w:hAnsi="仿宋_GB2312" w:cs="仿宋_GB2312" w:eastAsia="仿宋_GB2312"/>
                      <w:sz w:val="24"/>
                    </w:rPr>
                    <w:t>最大放电电流：</w:t>
                  </w:r>
                  <w:r>
                    <w:rPr>
                      <w:rFonts w:ascii="仿宋_GB2312" w:hAnsi="仿宋_GB2312" w:cs="仿宋_GB2312" w:eastAsia="仿宋_GB2312"/>
                      <w:sz w:val="24"/>
                    </w:rPr>
                    <w:t>23A;</w:t>
                  </w:r>
                </w:p>
                <w:p>
                  <w:pPr>
                    <w:pStyle w:val="null3"/>
                    <w:numPr>
                      <w:ilvl w:val="0"/>
                      <w:numId w:val="1"/>
                    </w:numPr>
                    <w:jc w:val="both"/>
                  </w:pPr>
                  <w:r>
                    <w:rPr>
                      <w:rFonts w:ascii="仿宋_GB2312" w:hAnsi="仿宋_GB2312" w:cs="仿宋_GB2312" w:eastAsia="仿宋_GB2312"/>
                    </w:rPr>
                    <w:t>压力：1~1.5MPa；</w:t>
                  </w:r>
                </w:p>
                <w:p>
                  <w:pPr>
                    <w:pStyle w:val="null3"/>
                    <w:numPr>
                      <w:ilvl w:val="0"/>
                      <w:numId w:val="1"/>
                    </w:numPr>
                    <w:jc w:val="both"/>
                  </w:pPr>
                  <w:r>
                    <w:rPr>
                      <w:rFonts w:ascii="仿宋_GB2312" w:hAnsi="仿宋_GB2312" w:cs="仿宋_GB2312" w:eastAsia="仿宋_GB2312"/>
                    </w:rPr>
                    <w:t>允许工作电流：12~23A；</w:t>
                  </w:r>
                </w:p>
                <w:p>
                  <w:pPr>
                    <w:pStyle w:val="null3"/>
                    <w:numPr>
                      <w:ilvl w:val="0"/>
                      <w:numId w:val="1"/>
                    </w:numPr>
                    <w:jc w:val="both"/>
                  </w:pPr>
                  <w:r>
                    <w:rPr>
                      <w:rFonts w:ascii="仿宋_GB2312" w:hAnsi="仿宋_GB2312" w:cs="仿宋_GB2312" w:eastAsia="仿宋_GB2312"/>
                    </w:rPr>
                    <w:t>配套2800四缸泵，带搅拌、冲洗；</w:t>
                  </w:r>
                </w:p>
                <w:p>
                  <w:pPr>
                    <w:pStyle w:val="null3"/>
                    <w:numPr>
                      <w:ilvl w:val="0"/>
                      <w:numId w:val="1"/>
                    </w:numPr>
                    <w:jc w:val="both"/>
                  </w:pPr>
                  <w:r>
                    <w:rPr>
                      <w:rFonts w:ascii="仿宋_GB2312" w:hAnsi="仿宋_GB2312" w:cs="仿宋_GB2312" w:eastAsia="仿宋_GB2312"/>
                      <w:sz w:val="24"/>
                    </w:rPr>
                    <w:t>电池放电时间</w:t>
                  </w:r>
                  <w:r>
                    <w:rPr>
                      <w:rFonts w:ascii="仿宋_GB2312" w:hAnsi="仿宋_GB2312" w:cs="仿宋_GB2312" w:eastAsia="仿宋_GB2312"/>
                      <w:sz w:val="24"/>
                    </w:rPr>
                    <w:t>:6-8小时</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喷雾方式</w:t>
                  </w:r>
                  <w:r>
                    <w:rPr>
                      <w:rFonts w:ascii="仿宋_GB2312" w:hAnsi="仿宋_GB2312" w:cs="仿宋_GB2312" w:eastAsia="仿宋_GB2312"/>
                      <w:sz w:val="24"/>
                    </w:rPr>
                    <w:t>:双肩后背式</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药桶容量</w:t>
                  </w:r>
                  <w:r>
                    <w:rPr>
                      <w:rFonts w:ascii="仿宋_GB2312" w:hAnsi="仿宋_GB2312" w:cs="仿宋_GB2312" w:eastAsia="仿宋_GB2312"/>
                      <w:sz w:val="24"/>
                    </w:rPr>
                    <w:t>:</w:t>
                  </w:r>
                  <w:r>
                    <w:rPr>
                      <w:rFonts w:ascii="仿宋_GB2312" w:hAnsi="仿宋_GB2312" w:cs="仿宋_GB2312" w:eastAsia="仿宋_GB2312"/>
                      <w:sz w:val="24"/>
                      <w:color w:val="000000"/>
                    </w:rPr>
                    <w:t>≧</w:t>
                  </w:r>
                  <w:r>
                    <w:rPr>
                      <w:rFonts w:ascii="仿宋_GB2312" w:hAnsi="仿宋_GB2312" w:cs="仿宋_GB2312" w:eastAsia="仿宋_GB2312"/>
                      <w:sz w:val="24"/>
                    </w:rPr>
                    <w:t>20升</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开关方式</w:t>
                  </w:r>
                  <w:r>
                    <w:rPr>
                      <w:rFonts w:ascii="仿宋_GB2312" w:hAnsi="仿宋_GB2312" w:cs="仿宋_GB2312" w:eastAsia="仿宋_GB2312"/>
                      <w:sz w:val="24"/>
                    </w:rPr>
                    <w:t>:双管双开式</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喷雾距离</w:t>
                  </w:r>
                  <w:r>
                    <w:rPr>
                      <w:rFonts w:ascii="仿宋_GB2312" w:hAnsi="仿宋_GB2312" w:cs="仿宋_GB2312" w:eastAsia="仿宋_GB2312"/>
                      <w:sz w:val="24"/>
                    </w:rPr>
                    <w:t>:3 -5M</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枪杆形式:双杆可伸缩</w:t>
                  </w:r>
                  <w:r>
                    <w:rPr>
                      <w:rFonts w:ascii="仿宋_GB2312" w:hAnsi="仿宋_GB2312" w:cs="仿宋_GB2312" w:eastAsia="仿宋_GB2312"/>
                      <w:sz w:val="24"/>
                    </w:rPr>
                    <w:t>。</w:t>
                  </w:r>
                </w:p>
              </w:tc>
              <w:tc>
                <w:tcPr>
                  <w:tcW w:type="dxa" w:w="2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6"/>
                      <w:color w:val="000000"/>
                    </w:rPr>
                    <w:t>20</w:t>
                  </w:r>
                  <w:r>
                    <w:rPr>
                      <w:rFonts w:ascii="仿宋_GB2312" w:hAnsi="仿宋_GB2312" w:cs="仿宋_GB2312" w:eastAsia="仿宋_GB2312"/>
                      <w:sz w:val="26"/>
                      <w:color w:val="000000"/>
                    </w:rPr>
                    <w:t>万</w:t>
                  </w:r>
                  <w:r>
                    <w:br/>
                  </w:r>
                  <w:r>
                    <w:rPr>
                      <w:rFonts w:ascii="仿宋_GB2312" w:hAnsi="仿宋_GB2312" w:cs="仿宋_GB2312" w:eastAsia="仿宋_GB2312"/>
                      <w:sz w:val="26"/>
                      <w:color w:val="000000"/>
                    </w:rPr>
                    <w:t>（</w:t>
                  </w:r>
                  <w:r>
                    <w:rPr>
                      <w:rFonts w:ascii="仿宋_GB2312" w:hAnsi="仿宋_GB2312" w:cs="仿宋_GB2312" w:eastAsia="仿宋_GB2312"/>
                      <w:sz w:val="26"/>
                      <w:color w:val="000000"/>
                    </w:rPr>
                    <w:t>500</w:t>
                  </w:r>
                  <w:r>
                    <w:rPr>
                      <w:rFonts w:ascii="仿宋_GB2312" w:hAnsi="仿宋_GB2312" w:cs="仿宋_GB2312" w:eastAsia="仿宋_GB2312"/>
                      <w:sz w:val="26"/>
                      <w:color w:val="000000"/>
                    </w:rPr>
                    <w:t>元</w:t>
                  </w:r>
                  <w:r>
                    <w:rPr>
                      <w:rFonts w:ascii="仿宋_GB2312" w:hAnsi="仿宋_GB2312" w:cs="仿宋_GB2312" w:eastAsia="仿宋_GB2312"/>
                      <w:sz w:val="26"/>
                      <w:color w:val="000000"/>
                    </w:rPr>
                    <w:t>/</w:t>
                  </w:r>
                  <w:r>
                    <w:rPr>
                      <w:rFonts w:ascii="仿宋_GB2312" w:hAnsi="仿宋_GB2312" w:cs="仿宋_GB2312" w:eastAsia="仿宋_GB2312"/>
                      <w:sz w:val="26"/>
                      <w:color w:val="000000"/>
                    </w:rPr>
                    <w:t>台）</w:t>
                  </w:r>
                </w:p>
              </w:tc>
            </w:tr>
            <w:tr>
              <w:tc>
                <w:tcPr>
                  <w:tcW w:type="dxa" w:w="5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6"/>
                      <w:color w:val="000000"/>
                    </w:rPr>
                    <w:t>脱粒机</w:t>
                  </w:r>
                </w:p>
              </w:tc>
              <w:tc>
                <w:tcPr>
                  <w:tcW w:type="dxa" w:w="3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6"/>
                      <w:color w:val="000000"/>
                    </w:rPr>
                    <w:t>台</w:t>
                  </w:r>
                </w:p>
              </w:tc>
              <w:tc>
                <w:tcPr>
                  <w:tcW w:type="dxa" w:w="25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5"/>
                      <w:color w:val="000000"/>
                    </w:rPr>
                    <w:t xml:space="preserve">150 </w:t>
                  </w:r>
                </w:p>
              </w:tc>
              <w:tc>
                <w:tcPr>
                  <w:tcW w:type="dxa" w:w="114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rPr>
                    <w:t>配套动力型式：单相电机、柴油机、汽油机；配套动力功率：</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KW；;滚筒数量</w:t>
                  </w:r>
                  <w:r>
                    <w:rPr>
                      <w:rFonts w:ascii="仿宋_GB2312" w:hAnsi="仿宋_GB2312" w:cs="仿宋_GB2312" w:eastAsia="仿宋_GB2312"/>
                      <w:sz w:val="24"/>
                    </w:rPr>
                    <w:t>≧</w:t>
                  </w:r>
                  <w:r>
                    <w:rPr>
                      <w:rFonts w:ascii="仿宋_GB2312" w:hAnsi="仿宋_GB2312" w:cs="仿宋_GB2312" w:eastAsia="仿宋_GB2312"/>
                      <w:sz w:val="24"/>
                    </w:rPr>
                    <w:t>3个；切碎装置型式：钉齿式、刀齿式、螺旋叶片式、齿型式；切碎装置转速（r/min）：≧</w:t>
                  </w:r>
                  <w:r>
                    <w:rPr>
                      <w:rFonts w:ascii="仿宋_GB2312" w:hAnsi="仿宋_GB2312" w:cs="仿宋_GB2312" w:eastAsia="仿宋_GB2312"/>
                      <w:sz w:val="24"/>
                    </w:rPr>
                    <w:t>700~</w:t>
                  </w:r>
                  <w:r>
                    <w:rPr>
                      <w:rFonts w:ascii="仿宋_GB2312" w:hAnsi="仿宋_GB2312" w:cs="仿宋_GB2312" w:eastAsia="仿宋_GB2312"/>
                      <w:sz w:val="24"/>
                    </w:rPr>
                    <w:t>850；脱粒滚筒结构型式：轴流式；滚筒长度（mm）：滚筒1：≧</w:t>
                  </w:r>
                  <w:r>
                    <w:rPr>
                      <w:rFonts w:ascii="仿宋_GB2312" w:hAnsi="仿宋_GB2312" w:cs="仿宋_GB2312" w:eastAsia="仿宋_GB2312"/>
                      <w:sz w:val="24"/>
                    </w:rPr>
                    <w:t>690，滚筒2:≧</w:t>
                  </w:r>
                  <w:r>
                    <w:rPr>
                      <w:rFonts w:ascii="仿宋_GB2312" w:hAnsi="仿宋_GB2312" w:cs="仿宋_GB2312" w:eastAsia="仿宋_GB2312"/>
                      <w:sz w:val="24"/>
                    </w:rPr>
                    <w:t>700，滚筒3:≧</w:t>
                  </w:r>
                  <w:r>
                    <w:rPr>
                      <w:rFonts w:ascii="仿宋_GB2312" w:hAnsi="仿宋_GB2312" w:cs="仿宋_GB2312" w:eastAsia="仿宋_GB2312"/>
                      <w:sz w:val="24"/>
                    </w:rPr>
                    <w:t>505；滚筒直径（mm）：滚筒1:≧</w:t>
                  </w:r>
                  <w:r>
                    <w:rPr>
                      <w:rFonts w:ascii="仿宋_GB2312" w:hAnsi="仿宋_GB2312" w:cs="仿宋_GB2312" w:eastAsia="仿宋_GB2312"/>
                      <w:sz w:val="24"/>
                    </w:rPr>
                    <w:t>350，滚筒2:≧</w:t>
                  </w:r>
                  <w:r>
                    <w:rPr>
                      <w:rFonts w:ascii="仿宋_GB2312" w:hAnsi="仿宋_GB2312" w:cs="仿宋_GB2312" w:eastAsia="仿宋_GB2312"/>
                      <w:sz w:val="24"/>
                    </w:rPr>
                    <w:t>200，滚筒3:≧</w:t>
                  </w:r>
                  <w:r>
                    <w:rPr>
                      <w:rFonts w:ascii="仿宋_GB2312" w:hAnsi="仿宋_GB2312" w:cs="仿宋_GB2312" w:eastAsia="仿宋_GB2312"/>
                      <w:sz w:val="24"/>
                    </w:rPr>
                    <w:t>110；滚筒转速（r/</w:t>
                  </w:r>
                  <w:r>
                    <w:rPr>
                      <w:rFonts w:ascii="仿宋_GB2312" w:hAnsi="仿宋_GB2312" w:cs="仿宋_GB2312" w:eastAsia="仿宋_GB2312"/>
                      <w:sz w:val="24"/>
                    </w:rPr>
                    <w:t>min）；滚筒1:700~</w:t>
                  </w:r>
                  <w:r>
                    <w:rPr>
                      <w:rFonts w:ascii="仿宋_GB2312" w:hAnsi="仿宋_GB2312" w:cs="仿宋_GB2312" w:eastAsia="仿宋_GB2312"/>
                      <w:sz w:val="24"/>
                    </w:rPr>
                    <w:t>850，滚筒2：700~</w:t>
                  </w:r>
                  <w:r>
                    <w:rPr>
                      <w:rFonts w:ascii="仿宋_GB2312" w:hAnsi="仿宋_GB2312" w:cs="仿宋_GB2312" w:eastAsia="仿宋_GB2312"/>
                      <w:sz w:val="24"/>
                    </w:rPr>
                    <w:t>850，滚筒3:220~</w:t>
                  </w:r>
                  <w:r>
                    <w:rPr>
                      <w:rFonts w:ascii="仿宋_GB2312" w:hAnsi="仿宋_GB2312" w:cs="仿宋_GB2312" w:eastAsia="仿宋_GB2312"/>
                      <w:sz w:val="24"/>
                    </w:rPr>
                    <w:t>250；总损失率：≦4%；含杂率：≦4%；</w:t>
                  </w:r>
                  <w:r>
                    <w:rPr>
                      <w:rFonts w:ascii="仿宋_GB2312" w:hAnsi="仿宋_GB2312" w:cs="仿宋_GB2312" w:eastAsia="仿宋_GB2312"/>
                      <w:sz w:val="24"/>
                    </w:rPr>
                    <w:t>生产率（</w:t>
                  </w:r>
                  <w:r>
                    <w:rPr>
                      <w:rFonts w:ascii="仿宋_GB2312" w:hAnsi="仿宋_GB2312" w:cs="仿宋_GB2312" w:eastAsia="仿宋_GB2312"/>
                      <w:sz w:val="24"/>
                    </w:rPr>
                    <w:t>kg/h）：</w:t>
                  </w:r>
                  <w:r>
                    <w:rPr>
                      <w:rFonts w:ascii="仿宋_GB2312" w:hAnsi="仿宋_GB2312" w:cs="仿宋_GB2312" w:eastAsia="仿宋_GB2312"/>
                      <w:sz w:val="24"/>
                    </w:rPr>
                    <w:t>≥</w:t>
                  </w:r>
                  <w:r>
                    <w:rPr>
                      <w:rFonts w:ascii="仿宋_GB2312" w:hAnsi="仿宋_GB2312" w:cs="仿宋_GB2312" w:eastAsia="仿宋_GB2312"/>
                      <w:sz w:val="24"/>
                    </w:rPr>
                    <w:t>300</w:t>
                  </w:r>
                  <w:r>
                    <w:rPr>
                      <w:rFonts w:ascii="仿宋_GB2312" w:hAnsi="仿宋_GB2312" w:cs="仿宋_GB2312" w:eastAsia="仿宋_GB2312"/>
                      <w:sz w:val="24"/>
                    </w:rPr>
                    <w:t>。</w:t>
                  </w:r>
                </w:p>
              </w:tc>
              <w:tc>
                <w:tcPr>
                  <w:tcW w:type="dxa" w:w="2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6"/>
                      <w:color w:val="000000"/>
                    </w:rPr>
                    <w:t>45</w:t>
                  </w:r>
                  <w:r>
                    <w:rPr>
                      <w:rFonts w:ascii="仿宋_GB2312" w:hAnsi="仿宋_GB2312" w:cs="仿宋_GB2312" w:eastAsia="仿宋_GB2312"/>
                      <w:sz w:val="26"/>
                      <w:color w:val="000000"/>
                    </w:rPr>
                    <w:t>万</w:t>
                  </w:r>
                  <w:r>
                    <w:br/>
                  </w:r>
                  <w:r>
                    <w:rPr>
                      <w:rFonts w:ascii="仿宋_GB2312" w:hAnsi="仿宋_GB2312" w:cs="仿宋_GB2312" w:eastAsia="仿宋_GB2312"/>
                      <w:sz w:val="26"/>
                      <w:color w:val="000000"/>
                    </w:rPr>
                    <w:t>（</w:t>
                  </w:r>
                  <w:r>
                    <w:rPr>
                      <w:rFonts w:ascii="仿宋_GB2312" w:hAnsi="仿宋_GB2312" w:cs="仿宋_GB2312" w:eastAsia="仿宋_GB2312"/>
                      <w:sz w:val="26"/>
                      <w:color w:val="000000"/>
                    </w:rPr>
                    <w:t>3000</w:t>
                  </w:r>
                  <w:r>
                    <w:rPr>
                      <w:rFonts w:ascii="仿宋_GB2312" w:hAnsi="仿宋_GB2312" w:cs="仿宋_GB2312" w:eastAsia="仿宋_GB2312"/>
                      <w:sz w:val="26"/>
                      <w:color w:val="000000"/>
                    </w:rPr>
                    <w:t>元</w:t>
                  </w:r>
                  <w:r>
                    <w:rPr>
                      <w:rFonts w:ascii="仿宋_GB2312" w:hAnsi="仿宋_GB2312" w:cs="仿宋_GB2312" w:eastAsia="仿宋_GB2312"/>
                      <w:sz w:val="26"/>
                      <w:color w:val="000000"/>
                    </w:rPr>
                    <w:t>/</w:t>
                  </w:r>
                  <w:r>
                    <w:rPr>
                      <w:rFonts w:ascii="仿宋_GB2312" w:hAnsi="仿宋_GB2312" w:cs="仿宋_GB2312" w:eastAsia="仿宋_GB2312"/>
                      <w:sz w:val="26"/>
                      <w:color w:val="000000"/>
                    </w:rPr>
                    <w:t>台）</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西乡县（采购人指定地点）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签订合同付款30%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设备提供并通过验收后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相关行业的验收标准进行验收a.出厂检验:中标供应商在货物出厂前,应按产品技术标准规定的检验项目和试验方法进行全面检验,卖方应随同货物提供出厂检验报告、产品质量合格证。b.货物运达采购单位安装现场后，由采购单位进行质量和数量的验收（但不作为最终合格的保证），应达到合同规定的要求。c.本次采购货物的安装调试，检验结果应符合制造厂产品标准、国家有关标准和采购文件规定的技术要求。d.本次采购的设备安装调试结束后，由成交供应商会同采购单位按双方规定的标准及合同要求进行联合验收。供应商按规定的标准要求进行联合最终验收，验收合格后办理相关手续。文本资料(1)产品验收标准；(2)技术说明书；(3)使用说明书；(4)设备安装、调试、维修线路原理图；(5)零部件目录； (6)备品备件、易损件清单；(7)安装、维修及操作手册；(8)合同中要求的其他文件资料</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本项目质保期：2年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同在履行过程中发生的争议，当事人双方应协商解决，协商达不成一致时，可向采 购方所在地仲裁委员会申请仲裁或者向人民法院提请诉讼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 1.供应商失信行为：供应商有《陕西省政府采购领域供应商违法失信“黑名单”信息共享和联合惩戒实施办法》第四条规定的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同时纳入黑名单系统。 2.为顺利推进政府采购电子化交易平台应用工作，投标人需要在线提交所有通过电子化交易平台实施 的政府采购项目的投标文件，同时，中标结果公示后中标供应商须线下提交投标文件正本壹份、副本壹份、电子版壹份（U盘一份，标明投标人名称）； 3.本项目产品各包最高限价如下：（本项目各包为报总价项目，同时单台（套）产品不能超出最高限价，否则按无效文件处理） 具体限价详见技术标参数及要求。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供应商提交的相关资格证明材料.docx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供应商应授权合法的人员参加本项目招标活动全过程，其中法定代表人直接参加招标活动的，应出具法定代表人证明书及法定代表人合法有效的身份证扫描件，且应与营业执照上信息一致；法定代表人授权代表参加招标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注：若供应商未提供《汉中市政府采购供应商资格承诺函》，应当按照《中华人民共和国政府采购法》及其实施条例等相关法律法规规定提供相应的证明材料。相应证明材料如下：①财务状况报告：提供2023年度或2024年度经审计的完整有效财务报告，或其响应文件递交截止时间前三个月内基本开户银行出具的资信证明，或财政部门认可的政府采购专业担保机构出具的担保函（以上三种任意一项即可）。（材料应清晰可辨并加盖公章）②社保缴纳证明：提供自2025年1月1日以来已缴存的任意1个月的社会保障资金缴存单据或社保机构开具的社会保险参保缴费情况证明；依法不需要缴纳社会保障资金的供应商应提供相关证明文件。（材料应清晰可辨并加盖公章）③税收缴纳证明：提供自2025年1月1日以来已缴纳的任意1个月的依法缴纳税收的相关凭据(时间以税款所属日期为准)，凭据应有税务机关或代收机关的公章或业务专用章；依法免税或无须缴纳税收的供应商，应提供相应证明文件。（材料应清晰可辨并加盖公章）④提供具有履行合同所必需的设备和专业技术能力的书面承诺。（格式内容自拟并加盖公章）⑤提供参加政府采购活动前三年内在经营活动中没有重大违法记录的书面声明。（格式内容自拟并加盖公章）⑥供应商不得为“信用中国”网站（www.cre 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供应商在招标文件截止时间前3日内查询并作为资格审查资料的一部分，如相关失信记录已失效，供应商需提供相关证明资料，若没有则无需提供。）</w:t>
            </w:r>
          </w:p>
        </w:tc>
        <w:tc>
          <w:tcPr>
            <w:tcW w:type="dxa" w:w="1661"/>
          </w:tcPr>
          <w:p>
            <w:pPr>
              <w:pStyle w:val="null3"/>
            </w:pPr>
            <w:r>
              <w:rPr>
                <w:rFonts w:ascii="仿宋_GB2312" w:hAnsi="仿宋_GB2312" w:cs="仿宋_GB2312" w:eastAsia="仿宋_GB2312"/>
              </w:rPr>
              <w:t>供应商提交的相关资格证明材料.docx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具有履行合同所必须的设备和专业技术能力</w:t>
            </w:r>
          </w:p>
        </w:tc>
        <w:tc>
          <w:tcPr>
            <w:tcW w:type="dxa" w:w="3322"/>
          </w:tcPr>
          <w:p>
            <w:pPr>
              <w:pStyle w:val="null3"/>
            </w:pPr>
            <w:r>
              <w:rPr>
                <w:rFonts w:ascii="仿宋_GB2312" w:hAnsi="仿宋_GB2312" w:cs="仿宋_GB2312" w:eastAsia="仿宋_GB2312"/>
              </w:rPr>
              <w:t>具有履行合同所必须的设备和专业技术能力的承诺及说明</w:t>
            </w:r>
          </w:p>
        </w:tc>
        <w:tc>
          <w:tcPr>
            <w:tcW w:type="dxa" w:w="1661"/>
          </w:tcPr>
          <w:p>
            <w:pPr>
              <w:pStyle w:val="null3"/>
            </w:pPr>
            <w:r>
              <w:rPr>
                <w:rFonts w:ascii="仿宋_GB2312" w:hAnsi="仿宋_GB2312" w:cs="仿宋_GB2312" w:eastAsia="仿宋_GB2312"/>
              </w:rPr>
              <w:t>供应商提交的相关资格证明材料.docx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提供非联合体投标声明</w:t>
            </w:r>
          </w:p>
        </w:tc>
        <w:tc>
          <w:tcPr>
            <w:tcW w:type="dxa" w:w="1661"/>
          </w:tcPr>
          <w:p>
            <w:pPr>
              <w:pStyle w:val="null3"/>
            </w:pPr>
            <w:r>
              <w:rPr>
                <w:rFonts w:ascii="仿宋_GB2312" w:hAnsi="仿宋_GB2312" w:cs="仿宋_GB2312" w:eastAsia="仿宋_GB2312"/>
              </w:rPr>
              <w:t>供应商提交的相关资格证明材料.docx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参与的供应商提供的货物全部由符合政策要求的中小企业制造</w:t>
            </w:r>
          </w:p>
        </w:tc>
        <w:tc>
          <w:tcPr>
            <w:tcW w:type="dxa" w:w="1661"/>
          </w:tcPr>
          <w:p>
            <w:pPr>
              <w:pStyle w:val="null3"/>
            </w:pPr>
            <w:r>
              <w:rPr>
                <w:rFonts w:ascii="仿宋_GB2312" w:hAnsi="仿宋_GB2312" w:cs="仿宋_GB2312" w:eastAsia="仿宋_GB2312"/>
              </w:rPr>
              <w:t>供应商提交的相关资格证明材料.docx 中小企业声明函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供应商应当使用纳入陕西省政府采购综合管理 平台数字 证书互认范围的数字证书及签章进行 系统操作。（供应商对其系统操作行为和电子 签章确认的事项承担法律责任）</w:t>
            </w:r>
          </w:p>
        </w:tc>
        <w:tc>
          <w:tcPr>
            <w:tcW w:type="dxa" w:w="1661"/>
          </w:tcPr>
          <w:p>
            <w:pPr>
              <w:pStyle w:val="null3"/>
            </w:pPr>
            <w:r>
              <w:rPr>
                <w:rFonts w:ascii="仿宋_GB2312" w:hAnsi="仿宋_GB2312" w:cs="仿宋_GB2312" w:eastAsia="仿宋_GB2312"/>
              </w:rPr>
              <w:t>开标一览表 业绩.docx 质量保证措施及进度保证措施.docx 中小企业声明函 供货渠道证明.docx 质保期承诺.docx 售后服务及培训方案.docx 供应商提交的相关资格证明材料.docx 投标函 残疾人福利性单位声明函 标的清单 技术标偏离表.docx 投标文件封面 实施方案.docx 监狱企业的证明文件 分项报价表.pdf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 超过采购预算金额或最高限价</w:t>
            </w:r>
          </w:p>
        </w:tc>
        <w:tc>
          <w:tcPr>
            <w:tcW w:type="dxa" w:w="1661"/>
          </w:tcPr>
          <w:p>
            <w:pPr>
              <w:pStyle w:val="null3"/>
            </w:pPr>
            <w:r>
              <w:rPr>
                <w:rFonts w:ascii="仿宋_GB2312" w:hAnsi="仿宋_GB2312" w:cs="仿宋_GB2312" w:eastAsia="仿宋_GB2312"/>
              </w:rPr>
              <w:t>开标一览表 投标函 分项报价表.pdf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对投标文件响应程度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业绩.docx 质量保证措施及进度保证措施.docx 中小企业声明函 供货渠道证明.docx 质保期承诺.docx 售后服务及培训方案.docx 供应商提交的相关资格证明材料.docx 投标函 残疾人福利性单位声明函 标的清单 技术标偏离表.docx 投标文件封面 实施方案.docx 监狱企业的证明文件 分项报价表.pdf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以来类似项目的业绩，每个1.5分，满分3分。注：近3年(2023年1月1日以来)，以合同协议书签订时间或中标通知书发放时间为准的业绩，需提供合同扫描件或中标通知书扫描件，并加盖供应商企业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在招标文件要求的质保基础上，每增加一年计1分，满分2分。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质保期承诺.docx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商拟供产品完全响应招标文件技术参数要求的，计15分，每负偏离1项扣0.5分。扣完为止，不计负分。备注：供应商须提供拟供产品相关技术参数证明材料，包括但不限于产品介绍或彩页或说明书或检测报告等，供应商自行承担因未提供拟供产品技术参数证明材料导致技术参数被视为负偏离的风险</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技术标偏离表.docx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提供所投产品合法来源渠道证明文件（不限于销售协议、代理协议、原厂授权等），确保生产供应的产品为全新产品,无假货、水货、翻新货且无产权纠纷。提供齐全计3分，提供不全或未提供不计分。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供货渠道证明.docx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针对本项目提供详细的项目实施方案包括但不限于①整体实施方案；②设备安装方案③供货计划④技术力量配备⑤应急响应服务评审标准：以上内容各部分内容全面详细、阐述条例清晰详尽、符合本项目采购需求得20分；评审内容每有一项缺项、与本项目内容无关或只有标题没有实质性内容扣4分；评审内容有缺陷或未完全响应评审标准的（缺陷是指：内容粗略、描述过于简单、条理不清晰、出现常识性错误、存在不完全适用项目实际情况的情形等），每项扣1.5分；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质量保证措施、进度保证措施</w:t>
            </w:r>
          </w:p>
        </w:tc>
        <w:tc>
          <w:tcPr>
            <w:tcW w:type="dxa" w:w="2492"/>
          </w:tcPr>
          <w:p>
            <w:pPr>
              <w:pStyle w:val="null3"/>
            </w:pPr>
            <w:r>
              <w:rPr>
                <w:rFonts w:ascii="仿宋_GB2312" w:hAnsi="仿宋_GB2312" w:cs="仿宋_GB2312" w:eastAsia="仿宋_GB2312"/>
              </w:rPr>
              <w:t>一、评审内容：针对本项目提供详细完善的保障方案及措施，包括但不限于①质量保障承诺及措施；②进度保障措施；③安装质量保障措施。评审标准：以上内容各部分内容全面详细、阐述条例清晰详尽、符合本项目采购需求得15分；评审内容每有一项缺项、与本项目内容无关或只有标题没有实质性内容扣3分；评审内容有缺陷或未完全响应评审标准的（缺陷是指：内容粗略、描述过于简单、条理不清晰、出现常识性错误、存在不完全适用项目实际情况的情形等），每项扣1.5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质量保证措施及进度保证措施.docx</w:t>
            </w:r>
          </w:p>
        </w:tc>
      </w:tr>
      <w:tr>
        <w:tc>
          <w:tcPr>
            <w:tcW w:type="dxa" w:w="831"/>
            <w:vMerge/>
          </w:tcPr>
          <w:p/>
        </w:tc>
        <w:tc>
          <w:tcPr>
            <w:tcW w:type="dxa" w:w="1661"/>
          </w:tcPr>
          <w:p>
            <w:pPr>
              <w:pStyle w:val="null3"/>
            </w:pPr>
            <w:r>
              <w:rPr>
                <w:rFonts w:ascii="仿宋_GB2312" w:hAnsi="仿宋_GB2312" w:cs="仿宋_GB2312" w:eastAsia="仿宋_GB2312"/>
              </w:rPr>
              <w:t>售后服务承诺及培训方案</w:t>
            </w:r>
          </w:p>
        </w:tc>
        <w:tc>
          <w:tcPr>
            <w:tcW w:type="dxa" w:w="2492"/>
          </w:tcPr>
          <w:p>
            <w:pPr>
              <w:pStyle w:val="null3"/>
            </w:pPr>
            <w:r>
              <w:rPr>
                <w:rFonts w:ascii="仿宋_GB2312" w:hAnsi="仿宋_GB2312" w:cs="仿宋_GB2312" w:eastAsia="仿宋_GB2312"/>
              </w:rPr>
              <w:t>一、评审内容针对本项目提供详尽的服务承诺及培训方案，包含但不限于针对本项目的①售后服务承诺；②维修保养计划；③具有售后服务机构④人员培训方案评审标准：以上内容各部分内容全面详细、阐述条例清晰详尽、符合本项目采购需求得12分；评审内容每有一项缺项、与本项目内容无关或只有标题没有实质性内容扣3分；评审内容有缺陷或未完全响应评审标准的（缺陷是指：内容粗略、描述过于简单、条理不清晰、出现常识性错误、存在不完全适用项目实际情况的情形等），每项扣1.5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上限为采购预算价，即报价大于上限价视为无效响应；2、以满足本次招标文件要求的最低报价为评审基准价，其价格为满分；3、供应商报价得分=（评审基准价/报价）×30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详见附件：供应商提交的相关资格证明材料.docx</w:t>
      </w:r>
    </w:p>
    <w:p>
      <w:pPr>
        <w:pStyle w:val="null3"/>
        <w:ind w:firstLine="960"/>
      </w:pPr>
      <w:r>
        <w:rPr>
          <w:rFonts w:ascii="仿宋_GB2312" w:hAnsi="仿宋_GB2312" w:cs="仿宋_GB2312" w:eastAsia="仿宋_GB2312"/>
        </w:rPr>
        <w:t>详见附件：供货渠道证明.docx</w:t>
      </w:r>
    </w:p>
    <w:p>
      <w:pPr>
        <w:pStyle w:val="null3"/>
        <w:ind w:firstLine="960"/>
      </w:pPr>
      <w:r>
        <w:rPr>
          <w:rFonts w:ascii="仿宋_GB2312" w:hAnsi="仿宋_GB2312" w:cs="仿宋_GB2312" w:eastAsia="仿宋_GB2312"/>
        </w:rPr>
        <w:t>详见附件：技术标偏离表.docx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详见附件：售后服务及培训方案.docx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详见附件：质保期承诺.docx</w:t>
      </w:r>
    </w:p>
    <w:p>
      <w:pPr>
        <w:pStyle w:val="null3"/>
        <w:ind w:firstLine="960"/>
      </w:pPr>
      <w:r>
        <w:rPr>
          <w:rFonts w:ascii="仿宋_GB2312" w:hAnsi="仿宋_GB2312" w:cs="仿宋_GB2312" w:eastAsia="仿宋_GB2312"/>
        </w:rPr>
        <w:t>详见附件：质量保证措施及进度保证措施.docx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