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版本号：ZJHZ-ZC2600520260310002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汉中市西乡县桑园镇2026年中央财政以工代赈项目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ZJHZ-ZC26005</w:t>
      </w:r>
      <w:r>
        <w:br/>
      </w:r>
      <w:r>
        <w:br/>
      </w:r>
      <w:r>
        <w:br/>
      </w:r>
    </w:p>
    <w:p>
      <w:pPr>
        <w:pStyle w:val="null3"/>
        <w:jc w:val="center"/>
        <w:outlineLvl w:val="2"/>
      </w:pPr>
      <w:r>
        <w:rPr>
          <w:rFonts w:ascii="仿宋_GB2312" w:hAnsi="仿宋_GB2312" w:cs="仿宋_GB2312" w:eastAsia="仿宋_GB2312"/>
          <w:sz w:val="28"/>
          <w:b/>
        </w:rPr>
        <w:t>西乡县桑园镇人民政府</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西乡县桑园镇人民政府</w:t>
      </w:r>
      <w:r>
        <w:rPr>
          <w:rFonts w:ascii="仿宋_GB2312" w:hAnsi="仿宋_GB2312" w:cs="仿宋_GB2312" w:eastAsia="仿宋_GB2312"/>
        </w:rPr>
        <w:t>委托，拟对</w:t>
      </w:r>
      <w:r>
        <w:rPr>
          <w:rFonts w:ascii="仿宋_GB2312" w:hAnsi="仿宋_GB2312" w:cs="仿宋_GB2312" w:eastAsia="仿宋_GB2312"/>
        </w:rPr>
        <w:t>汉中市西乡县桑园镇2026年中央财政以工代赈项目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汉中市西乡县桑园镇2026年中央财政以工代赈项目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乡县桑园镇，道路硬化工程共包含4条道路，路线总长4.190公里，其中桑园镇神溪村五组长沟至余家山村鑫磊矿业厂区道路硬化工程起点位于神溪村五组长沟，与旧水泥路相接，终点位于城北街道办余家山村鑫磊矿业厂区，与旧水泥路相接，路线长度0.806公里；桑园镇胜利村老林沟道路硬化工程起点与旧水泥路相接，终点位于水塘处，路线长度1.620公里；桑园镇胜利村曾家沟道路硬化工程起点位于白松青房侧，与旧水泥路相接，终点位于曾家院子，路线长度0.922公里；桑园镇北沟村安子沟道路硬化工程起点位于大石坎，与旧水泥路相接，终点位于刘佐彭房侧，路线长度0.842公里(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采购包1（汉中市西乡县桑园镇2026年中央财政以工代赈项目）：属于专门面向中小企业采购。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3、供应商资质：供应商须具备公路工程施工总承包三级以上（含三级）资质，且持有有效的安全生产许可证;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4、项目经理资质：拟派项目负责人须具有公路工程专业二级及以上注册建造师执业资格，并取得安全生产考核合格证书（B证），且无在建工程;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西乡县桑园镇人民政府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汉中市西乡县桑园镇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0916-6369368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采购包1：2,249,090.43元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说明：合同签订前按要求缴纳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西乡县桑园镇人民政府</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西乡县桑园镇人民政府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西乡县桑园镇人民政府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2,249,090.43</w:t>
      </w:r>
    </w:p>
    <w:p>
      <w:pPr>
        <w:pStyle w:val="null3"/>
      </w:pPr>
      <w:r>
        <w:rPr>
          <w:rFonts w:ascii="仿宋_GB2312" w:hAnsi="仿宋_GB2312" w:cs="仿宋_GB2312" w:eastAsia="仿宋_GB2312"/>
        </w:rPr>
        <w:t>采购包最高限价（元）: 2,249,090.43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2,249,090.43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（2）工期：120日历天</w:t>
            </w:r>
            <w:r>
              <w:br/>
            </w:r>
            <w:r>
              <w:rPr>
                <w:rFonts w:ascii="仿宋_GB2312" w:hAnsi="仿宋_GB2312" w:cs="仿宋_GB2312" w:eastAsia="仿宋_GB2312"/>
              </w:rPr>
              <w:t xml:space="preserve"> （3）质量要求：工程交工验收的质量等级评定：合格；竣工验收的质量等级评定：合格</w:t>
            </w:r>
            <w:r>
              <w:br/>
            </w:r>
            <w:r>
              <w:rPr>
                <w:rFonts w:ascii="仿宋_GB2312" w:hAnsi="仿宋_GB2312" w:cs="仿宋_GB2312" w:eastAsia="仿宋_GB2312"/>
              </w:rPr>
              <w:t xml:space="preserve"> （4）安全目标：无安全责任事故，实现“零死亡”安全管理目标</w:t>
            </w:r>
            <w:r>
              <w:br/>
            </w:r>
            <w:r>
              <w:rPr>
                <w:rFonts w:ascii="仿宋_GB2312" w:hAnsi="仿宋_GB2312" w:cs="仿宋_GB2312" w:eastAsia="仿宋_GB2312"/>
              </w:rPr>
              <w:t xml:space="preserve"> （5）本工程计价采用公路造价软件：同望 WECOST V11.0.0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2.中标人应在签订合同前，按本项目施工合同金额的3%缴纳农民工工资保证金，保证金可采用银行保函、保证保险等合法形式。工程竣工验收合格且无拖欠农民工工资行为后，保证金按规定予以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供应商须具备公路工程施工总承包三级以上（含三级）资质，且持有有效的安全生产许可证;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拟派项目负责人须具有公路工程专业二级及以上注册建造师执业资格，并取得安全生产考核合格证书（B证），且无在建工程;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内容完整性和编制水平</w:t>
            </w:r>
          </w:p>
        </w:tc>
        <w:tc>
          <w:tcPr>
            <w:tcW w:type="dxa" w:w="2492"/>
          </w:tcPr>
          <w:p>
            <w:pPr>
              <w:pStyle w:val="null3"/>
            </w:pPr>
            <w:r>
              <w:rPr>
                <w:rFonts w:ascii="仿宋_GB2312" w:hAnsi="仿宋_GB2312" w:cs="仿宋_GB2312" w:eastAsia="仿宋_GB2312"/>
              </w:rPr>
              <w:t>一、评审内容 投标人需针对本项目提供完整的公路工程技术实施方案，应包括：①方案编制依据（含相关规范、项目现场勘察资料）；②方案整体框架（涵盖施工、质量、安全、环保、进度、资源等全环节内容）。 二、评审标准 ①完整性：方案涵盖评审内容及公路工程核心环节，无重大内容缺失，附件及支撑资料齐全；②编制水平：方案结构清晰、逻辑严谨，文字表述规范，符合公路工程技术方案编制要求。 三、赋分标准 ①方案编制依据：每满足一项评审标准得1分，满分3分；②方案整体框架：每满足一项评审标准得1分，满分3分。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施工方法与技术措施</w:t>
            </w:r>
          </w:p>
        </w:tc>
        <w:tc>
          <w:tcPr>
            <w:tcW w:type="dxa" w:w="2492"/>
          </w:tcPr>
          <w:p>
            <w:pPr>
              <w:pStyle w:val="null3"/>
            </w:pPr>
            <w:r>
              <w:rPr>
                <w:rFonts w:ascii="仿宋_GB2312" w:hAnsi="仿宋_GB2312" w:cs="仿宋_GB2312" w:eastAsia="仿宋_GB2312"/>
              </w:rPr>
              <w:t>一、评审内容 投标人需针对本项目提供施工方法与技术措施，应包括：①公路核心工程施工方法；②关键技术保障措施。 二、评审标准 ①完整性：施工方法覆盖核心工程，技术措施对应关键施工环节，内容详细；②可实施性：施工方法科学合规，技术措施具体可行，操作流程清晰，适配公路工程施工特点；③针对性：能结合项目水文、地质条件，解决公路工程施工难点。 三、赋分标准 ①公路核心工程施工方法：每满足一项评审标准得2分，满分6分；②关键技术保障措施：每满足一项评审标准得2分，满分6分。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投标人需针对本项目提供质量管理体系与措施，应包括：①质量管理组织架构（含岗位职责、人员配置）；②质量控制措施（含原材料检测、施工工序验收、关键部位质量管控）。 二、评审标准 ①完整性：体系架构完整，控制措施覆盖公路工程质量全流程，无核心环节遗漏；②可实施性：质量标准明确，检测验收流程规范，管控措施具备可操作性；③针对性：能结合公路工程质量要点制定措施。 三、赋分标准 ①质量管理组织架构：每满足一项评审标准得1.5分，满分4.5分；②质量控制措施：每满足一项评审标准得1.5分，满分4.5分。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投标人需针对本项目提供安全管理体系与措施，应包括：①安全管理体系（含安全组织架构、责任分工、培训制度）；②专项安全措施。 二、评审标准 ①完整性：体系覆盖安全管理全要素，措施涵盖公路工程主要安全风险点；②可实施性：安全制度健全，防护措施具体，应急处置流程清晰；③针对性：能结合公路工程施工风险制定专项措施。 三、赋分标准 ①安全管理体系：每满足一项评审标准得1.5分，满分4.5分；②专项安全措施：每满足一项评审标准得1.5分，满分4.5分。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投标人需针对本项目提供环境保护管理体系与措施，应包括：①环保管理体系（含组织架构、管理制度）；②专项环保措施。 二、评审标准 ①完整性：体系架构完整，措施覆盖公路工程施工全周期环保要求；②可实施性：环保措施科学合规，操作流程明确，符合公路工程环保相关法规；③针对性：能结合项目周边水体、植被、生态环境特点制定保护措施。 三、赋分标准 ①环保管理体系：每满足一项评审标准得1分，满分3分；②专项环保措施：每满足一项评审标准得1分，满分3分。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投标人需针对本项目提供工程进度计划与措施，应包括：①施工总进度计划（含关键节点、工期目标分解）；②进度保障措施。 二、评审标准 ①完整性：进度计划涵盖各分项工程，保障措施对应进度管控全环节；②可实施性：进度计划逻辑合理，关键节点明确，保障措施具备可操作性；③针对性：能结合公路工程施工季节性制定计划与措施。 三、赋分标准 ①施工总进度计划：每满足一项评审标准得1分，满分3分；②进度保障措施：每满足一项评审标准得1分，满分3分。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投标人需针对本项目提供资源配备计划，应包括：①人力资源配置（含管理人员、技术人员、作业人员数量及资质）；②机械设备与物资配置（含施工机械、检测设备、原材料供应计划）。 二、评审标准 ①完整性：配置计划覆盖公路工程施工全阶段人力、设备、物资需求；②合理性：人员资质符合要求，设备型号/数量适配施工需求，物资供应计划衔接进度；③针对性：能结合公路工程施工强度及技术要求配置资源。 三、赋分标准 ①人力资源配置：每满足一项评审标准得1分，满分3分；②机械设备与物资配置：每满足一项评审标准得1分，满分3分。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①完整性：方案必须全面，对评审内容中的各项要求有详细描述；②可实施性：切合本项目实际情况，提出步骤清晰、合理的方案；③针对性：方案能够紧扣项目实际情况，内容科学合理。 三、赋分标准 ①管理机构的配备计划及管理人员证书：每完全满足一个评审标准得1分，满分3分；②组织机构的岗位职责：每完全满足一个评审标准得1分，满分3分。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应急保证措施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①完整性:方案须全面，对评审内容中的各项要求有详细描述及说明； ②可实施性:切合本项目实际情况，步骤清晰、合理； ③针对性:方案能够紧扣项目实际情况，内容科学合理。 三、赋分标准 ①自然灾害应急措施:每完全满足一个评审标准得1分，满分3分； ②安全事故应急措施:每完全满足一个评审标准得1分，满分3分。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